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87F5B" w14:textId="77777777" w:rsidR="00555E82" w:rsidRPr="00473159" w:rsidRDefault="00555E82" w:rsidP="00555E82">
      <w:pPr>
        <w:jc w:val="right"/>
        <w:rPr>
          <w:rFonts w:cstheme="minorHAnsi"/>
          <w:b/>
          <w:bCs/>
          <w:sz w:val="36"/>
          <w:szCs w:val="36"/>
        </w:rPr>
      </w:pPr>
      <w:r w:rsidRPr="00473159">
        <w:rPr>
          <w:rFonts w:cstheme="minorHAnsi"/>
          <w:b/>
          <w:bCs/>
          <w:sz w:val="36"/>
          <w:szCs w:val="36"/>
        </w:rPr>
        <w:t>Oldham Children Safeguarding Partnership</w:t>
      </w:r>
      <w:r w:rsidRPr="00473159">
        <w:rPr>
          <w:rFonts w:cstheme="minorHAnsi"/>
          <w:b/>
          <w:bCs/>
          <w:noProof/>
          <w:sz w:val="36"/>
          <w:szCs w:val="36"/>
        </w:rPr>
        <w:drawing>
          <wp:inline distT="0" distB="0" distL="0" distR="0" wp14:anchorId="14E691EB" wp14:editId="6C78B345">
            <wp:extent cx="2590800" cy="1381125"/>
            <wp:effectExtent l="0" t="0" r="0"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90800" cy="1381125"/>
                    </a:xfrm>
                    <a:prstGeom prst="rect">
                      <a:avLst/>
                    </a:prstGeom>
                  </pic:spPr>
                </pic:pic>
              </a:graphicData>
            </a:graphic>
          </wp:inline>
        </w:drawing>
      </w:r>
    </w:p>
    <w:p w14:paraId="41CA9C9A" w14:textId="3A6BAE29" w:rsidR="00555E82" w:rsidRDefault="00555E82" w:rsidP="00555E82">
      <w:pPr>
        <w:rPr>
          <w:rFonts w:cstheme="minorHAnsi"/>
          <w:b/>
          <w:bCs/>
          <w:sz w:val="36"/>
          <w:szCs w:val="36"/>
        </w:rPr>
      </w:pPr>
      <w:r w:rsidRPr="00473159">
        <w:rPr>
          <w:rFonts w:cstheme="minorHAnsi"/>
          <w:b/>
          <w:bCs/>
          <w:sz w:val="36"/>
          <w:szCs w:val="36"/>
        </w:rPr>
        <w:t>Complex Safeguarding Training Pathway</w:t>
      </w:r>
    </w:p>
    <w:p w14:paraId="500538A1" w14:textId="3FE244F7" w:rsidR="008E5C92" w:rsidRPr="008E5C92" w:rsidRDefault="008E5C92" w:rsidP="00555E82">
      <w:pPr>
        <w:rPr>
          <w:rFonts w:cstheme="minorHAnsi"/>
          <w:b/>
          <w:bCs/>
          <w:i/>
          <w:iCs/>
          <w:sz w:val="32"/>
          <w:szCs w:val="32"/>
        </w:rPr>
      </w:pPr>
      <w:r w:rsidRPr="008E5C92">
        <w:rPr>
          <w:rFonts w:cstheme="minorHAnsi"/>
          <w:b/>
          <w:bCs/>
          <w:i/>
          <w:iCs/>
          <w:sz w:val="32"/>
          <w:szCs w:val="32"/>
        </w:rPr>
        <w:t>Please note these learning opportunities will be advertised in the four training spotlights that cover the calendar training year</w:t>
      </w:r>
    </w:p>
    <w:p w14:paraId="3561BC6F" w14:textId="77777777" w:rsidR="00555E82" w:rsidRPr="00473159" w:rsidRDefault="00555E82" w:rsidP="00555E82">
      <w:pPr>
        <w:rPr>
          <w:rFonts w:cstheme="minorHAnsi"/>
          <w:b/>
          <w:bCs/>
          <w:sz w:val="32"/>
          <w:szCs w:val="32"/>
        </w:rPr>
      </w:pPr>
      <w:r w:rsidRPr="00473159">
        <w:rPr>
          <w:rFonts w:cstheme="minorHAnsi"/>
          <w:b/>
          <w:bCs/>
          <w:sz w:val="32"/>
          <w:szCs w:val="32"/>
        </w:rPr>
        <w:t>The Pathways Aims to</w:t>
      </w:r>
    </w:p>
    <w:p w14:paraId="0186B97B" w14:textId="77777777" w:rsidR="00555E82" w:rsidRPr="00F81CB0" w:rsidRDefault="00555E82" w:rsidP="00555E82">
      <w:pPr>
        <w:rPr>
          <w:rFonts w:cstheme="minorHAnsi"/>
          <w:sz w:val="36"/>
          <w:szCs w:val="36"/>
        </w:rPr>
      </w:pPr>
      <w:r w:rsidRPr="00F81CB0">
        <w:rPr>
          <w:rFonts w:cstheme="minorHAnsi"/>
        </w:rPr>
        <w:t xml:space="preserve"> Equip and support the workforce, effective services require resilient practitioners</w:t>
      </w:r>
    </w:p>
    <w:p w14:paraId="28865E47" w14:textId="77777777" w:rsidR="00555E82" w:rsidRPr="00F81CB0" w:rsidRDefault="00555E82" w:rsidP="00555E82">
      <w:pPr>
        <w:rPr>
          <w:rFonts w:cstheme="minorHAnsi"/>
        </w:rPr>
      </w:pPr>
      <w:r w:rsidRPr="00F81CB0">
        <w:rPr>
          <w:rFonts w:cstheme="minorHAnsi"/>
        </w:rPr>
        <w:t xml:space="preserve"> Understand the emotional impact of complex safeguarding work on practitioners is recognised by service leaders </w:t>
      </w:r>
    </w:p>
    <w:p w14:paraId="45DBA548" w14:textId="77777777" w:rsidR="00555E82" w:rsidRPr="00F81CB0" w:rsidRDefault="00555E82" w:rsidP="00555E82">
      <w:pPr>
        <w:rPr>
          <w:rFonts w:cstheme="minorHAnsi"/>
        </w:rPr>
      </w:pPr>
      <w:r w:rsidRPr="00F81CB0">
        <w:rPr>
          <w:rFonts w:cstheme="minorHAnsi"/>
        </w:rPr>
        <w:t xml:space="preserve">Provide general awareness raising opportunities for the partnership </w:t>
      </w:r>
    </w:p>
    <w:p w14:paraId="1660982F" w14:textId="77777777" w:rsidR="00555E82" w:rsidRPr="00F81CB0" w:rsidRDefault="00555E82" w:rsidP="00555E82">
      <w:pPr>
        <w:rPr>
          <w:rFonts w:cstheme="minorHAnsi"/>
        </w:rPr>
      </w:pPr>
      <w:r w:rsidRPr="00F81CB0">
        <w:rPr>
          <w:rFonts w:cstheme="minorHAnsi"/>
        </w:rPr>
        <w:t xml:space="preserve"> Provide high-quality learning and development opportunities for those working with young people at risk of / experiencing exploitation, </w:t>
      </w:r>
    </w:p>
    <w:p w14:paraId="12BAF6C7" w14:textId="77777777" w:rsidR="00555E82" w:rsidRPr="00F81CB0" w:rsidRDefault="00555E82" w:rsidP="00555E82">
      <w:pPr>
        <w:rPr>
          <w:rFonts w:cstheme="minorHAnsi"/>
        </w:rPr>
      </w:pPr>
      <w:r w:rsidRPr="00F81CB0">
        <w:rPr>
          <w:rFonts w:cstheme="minorHAnsi"/>
        </w:rPr>
        <w:t xml:space="preserve"> Evaluate the quality and impact of learning and development via the Safeguarding Review and Learning Hub</w:t>
      </w:r>
    </w:p>
    <w:p w14:paraId="2999F082" w14:textId="77777777" w:rsidR="00555E82" w:rsidRPr="00F81CB0" w:rsidRDefault="00555E82" w:rsidP="00555E82">
      <w:pPr>
        <w:rPr>
          <w:rFonts w:cstheme="minorHAnsi"/>
        </w:rPr>
      </w:pPr>
      <w:r w:rsidRPr="00F81CB0">
        <w:rPr>
          <w:rFonts w:cstheme="minorHAnsi"/>
        </w:rPr>
        <w:t>Multi-agency staff require training which raises awareness of both the nature of exploitation and its impact. Such training needs to assist in the recognition of the intersecting nature of exploitation, the impacts this can have – such as the nature of trauma, the risks faced by young people and the influence of vulnerabilities within different contexts.  The aim being that multi agency conversation in the training room develops the holistic and integrated understanding of exploitation</w:t>
      </w:r>
    </w:p>
    <w:p w14:paraId="4702C03B" w14:textId="77777777" w:rsidR="00555E82" w:rsidRDefault="00555E82" w:rsidP="00555E82">
      <w:pPr>
        <w:rPr>
          <w:rFonts w:cstheme="minorHAnsi"/>
          <w:b/>
          <w:bCs/>
          <w:sz w:val="32"/>
          <w:szCs w:val="32"/>
        </w:rPr>
      </w:pPr>
    </w:p>
    <w:p w14:paraId="339D36CD" w14:textId="77777777" w:rsidR="00555E82" w:rsidRDefault="00555E82" w:rsidP="00555E82">
      <w:pPr>
        <w:rPr>
          <w:rFonts w:cstheme="minorHAnsi"/>
          <w:b/>
          <w:bCs/>
          <w:sz w:val="32"/>
          <w:szCs w:val="32"/>
        </w:rPr>
      </w:pPr>
    </w:p>
    <w:p w14:paraId="5081FA48" w14:textId="77777777" w:rsidR="00555E82" w:rsidRDefault="00555E82" w:rsidP="00555E82">
      <w:pPr>
        <w:rPr>
          <w:rFonts w:cstheme="minorHAnsi"/>
          <w:b/>
          <w:bCs/>
          <w:sz w:val="32"/>
          <w:szCs w:val="32"/>
        </w:rPr>
      </w:pPr>
    </w:p>
    <w:p w14:paraId="502E554C" w14:textId="314C205A" w:rsidR="00555E82" w:rsidRPr="00F81CB0" w:rsidRDefault="00555E82" w:rsidP="00555E82">
      <w:pPr>
        <w:rPr>
          <w:rFonts w:cstheme="minorHAnsi"/>
          <w:b/>
          <w:bCs/>
          <w:sz w:val="28"/>
          <w:szCs w:val="28"/>
        </w:rPr>
      </w:pPr>
      <w:r w:rsidRPr="00473159">
        <w:rPr>
          <w:rFonts w:cstheme="minorHAnsi"/>
          <w:b/>
          <w:bCs/>
          <w:sz w:val="32"/>
          <w:szCs w:val="32"/>
        </w:rPr>
        <w:lastRenderedPageBreak/>
        <w:t>Greater Manchester’s Children’s Complex Safeguarding Policy Statement Definition</w:t>
      </w:r>
      <w:r w:rsidRPr="00F81CB0">
        <w:rPr>
          <w:rFonts w:cstheme="minorHAnsi"/>
          <w:b/>
          <w:bCs/>
          <w:sz w:val="28"/>
          <w:szCs w:val="28"/>
        </w:rPr>
        <w:t>:</w:t>
      </w:r>
    </w:p>
    <w:p w14:paraId="1C8B36A7" w14:textId="77777777" w:rsidR="00555E82" w:rsidRPr="00F81CB0" w:rsidRDefault="00555E82" w:rsidP="00555E82">
      <w:pPr>
        <w:rPr>
          <w:rFonts w:cstheme="minorHAnsi"/>
        </w:rPr>
      </w:pPr>
      <w:r w:rsidRPr="00F81CB0">
        <w:rPr>
          <w:rFonts w:cstheme="minorHAnsi"/>
        </w:rPr>
        <w:t>Complex Safeguarding is used to describe Criminal activity (often organised), or behaviour associated to criminality, involving vulnerable children / young people, where there is exploitation and / or a clear or implied safeguarding concern.</w:t>
      </w:r>
    </w:p>
    <w:p w14:paraId="23BC69AE" w14:textId="77777777" w:rsidR="00555E82" w:rsidRPr="00F81CB0" w:rsidRDefault="00555E82" w:rsidP="00555E82">
      <w:pPr>
        <w:rPr>
          <w:rFonts w:cstheme="minorHAnsi"/>
        </w:rPr>
      </w:pPr>
      <w:r w:rsidRPr="00F81CB0">
        <w:rPr>
          <w:rFonts w:cstheme="minorHAnsi"/>
        </w:rPr>
        <w:t xml:space="preserve"> The following are examples of complex safeguarding risks:</w:t>
      </w:r>
    </w:p>
    <w:p w14:paraId="0E2EF6DB" w14:textId="77777777" w:rsidR="00555E82" w:rsidRPr="00F81CB0" w:rsidRDefault="00555E82" w:rsidP="00555E82">
      <w:pPr>
        <w:rPr>
          <w:rFonts w:cstheme="minorHAnsi"/>
        </w:rPr>
      </w:pPr>
      <w:r w:rsidRPr="00F81CB0">
        <w:rPr>
          <w:rFonts w:cstheme="minorHAnsi"/>
        </w:rPr>
        <w:t xml:space="preserve"> </w:t>
      </w:r>
      <w:r w:rsidRPr="00F81CB0">
        <w:rPr>
          <w:rFonts w:cstheme="minorHAnsi"/>
        </w:rPr>
        <w:sym w:font="Symbol" w:char="F0B7"/>
      </w:r>
      <w:r w:rsidRPr="00F81CB0">
        <w:rPr>
          <w:rFonts w:cstheme="minorHAnsi"/>
        </w:rPr>
        <w:t xml:space="preserve"> Child Criminal Exploitation (CCE)</w:t>
      </w:r>
    </w:p>
    <w:p w14:paraId="3AC0DD57" w14:textId="77777777" w:rsidR="00555E82" w:rsidRPr="00F81CB0" w:rsidRDefault="00555E82" w:rsidP="00555E82">
      <w:pPr>
        <w:rPr>
          <w:rFonts w:cstheme="minorHAnsi"/>
        </w:rPr>
      </w:pPr>
      <w:r w:rsidRPr="00F81CB0">
        <w:rPr>
          <w:rFonts w:cstheme="minorHAnsi"/>
        </w:rPr>
        <w:t xml:space="preserve"> </w:t>
      </w:r>
      <w:r w:rsidRPr="00F81CB0">
        <w:rPr>
          <w:rFonts w:cstheme="minorHAnsi"/>
        </w:rPr>
        <w:sym w:font="Symbol" w:char="F0B7"/>
      </w:r>
      <w:r w:rsidRPr="00F81CB0">
        <w:rPr>
          <w:rFonts w:cstheme="minorHAnsi"/>
        </w:rPr>
        <w:t xml:space="preserve"> County Lines</w:t>
      </w:r>
    </w:p>
    <w:p w14:paraId="13F82BC6" w14:textId="77777777" w:rsidR="00555E82" w:rsidRPr="00F81CB0" w:rsidRDefault="00555E82" w:rsidP="00555E82">
      <w:pPr>
        <w:rPr>
          <w:rFonts w:cstheme="minorHAnsi"/>
        </w:rPr>
      </w:pPr>
      <w:r w:rsidRPr="00F81CB0">
        <w:rPr>
          <w:rFonts w:cstheme="minorHAnsi"/>
        </w:rPr>
        <w:t xml:space="preserve"> </w:t>
      </w:r>
      <w:r w:rsidRPr="00F81CB0">
        <w:rPr>
          <w:rFonts w:cstheme="minorHAnsi"/>
        </w:rPr>
        <w:sym w:font="Symbol" w:char="F0B7"/>
      </w:r>
      <w:r w:rsidRPr="00F81CB0">
        <w:rPr>
          <w:rFonts w:cstheme="minorHAnsi"/>
        </w:rPr>
        <w:t xml:space="preserve"> Modern Slavery and Trafficking</w:t>
      </w:r>
    </w:p>
    <w:p w14:paraId="32B40440" w14:textId="77777777" w:rsidR="00555E82" w:rsidRPr="00F81CB0" w:rsidRDefault="00555E82" w:rsidP="00555E82">
      <w:pPr>
        <w:rPr>
          <w:rFonts w:cstheme="minorHAnsi"/>
        </w:rPr>
      </w:pPr>
      <w:r w:rsidRPr="00F81CB0">
        <w:rPr>
          <w:rFonts w:cstheme="minorHAnsi"/>
        </w:rPr>
        <w:t xml:space="preserve"> </w:t>
      </w:r>
      <w:r w:rsidRPr="00F81CB0">
        <w:rPr>
          <w:rFonts w:cstheme="minorHAnsi"/>
        </w:rPr>
        <w:sym w:font="Symbol" w:char="F0B7"/>
      </w:r>
      <w:r w:rsidRPr="00F81CB0">
        <w:rPr>
          <w:rFonts w:cstheme="minorHAnsi"/>
        </w:rPr>
        <w:t xml:space="preserve"> Child Sexual Exploitation (CSE) </w:t>
      </w:r>
    </w:p>
    <w:p w14:paraId="3F13E35E" w14:textId="77777777" w:rsidR="00555E82" w:rsidRPr="00F81CB0" w:rsidRDefault="00555E82" w:rsidP="00555E82">
      <w:pPr>
        <w:rPr>
          <w:rFonts w:cstheme="minorHAnsi"/>
        </w:rPr>
      </w:pPr>
      <w:r w:rsidRPr="00F81CB0">
        <w:rPr>
          <w:rFonts w:cstheme="minorHAnsi"/>
        </w:rPr>
        <w:sym w:font="Symbol" w:char="F0B7"/>
      </w:r>
      <w:r w:rsidRPr="00F81CB0">
        <w:rPr>
          <w:rFonts w:cstheme="minorHAnsi"/>
        </w:rPr>
        <w:t xml:space="preserve"> Serious organised crime</w:t>
      </w:r>
    </w:p>
    <w:p w14:paraId="79065800" w14:textId="77777777" w:rsidR="00555E82" w:rsidRPr="00F81CB0" w:rsidRDefault="00555E82" w:rsidP="00555E82">
      <w:pPr>
        <w:rPr>
          <w:rFonts w:cstheme="minorHAnsi"/>
        </w:rPr>
      </w:pPr>
      <w:r w:rsidRPr="00F81CB0">
        <w:rPr>
          <w:rFonts w:cstheme="minorHAnsi"/>
        </w:rPr>
        <w:t xml:space="preserve"> </w:t>
      </w:r>
      <w:r w:rsidRPr="00F81CB0">
        <w:rPr>
          <w:rFonts w:cstheme="minorHAnsi"/>
        </w:rPr>
        <w:sym w:font="Symbol" w:char="F0B7"/>
      </w:r>
      <w:r w:rsidRPr="00F81CB0">
        <w:rPr>
          <w:rFonts w:cstheme="minorHAnsi"/>
        </w:rPr>
        <w:t xml:space="preserve"> Honour based abuse including forced marriages </w:t>
      </w:r>
    </w:p>
    <w:p w14:paraId="036AE374" w14:textId="77777777" w:rsidR="00555E82" w:rsidRPr="00F81CB0" w:rsidRDefault="00555E82" w:rsidP="00555E82">
      <w:pPr>
        <w:rPr>
          <w:rFonts w:cstheme="minorHAnsi"/>
        </w:rPr>
      </w:pPr>
      <w:r w:rsidRPr="00F81CB0">
        <w:rPr>
          <w:rFonts w:cstheme="minorHAnsi"/>
        </w:rPr>
        <w:sym w:font="Symbol" w:char="F0B7"/>
      </w:r>
      <w:r w:rsidRPr="00F81CB0">
        <w:rPr>
          <w:rFonts w:cstheme="minorHAnsi"/>
        </w:rPr>
        <w:t xml:space="preserve"> Preventing Violent Extremism </w:t>
      </w:r>
    </w:p>
    <w:p w14:paraId="36A47889" w14:textId="256B70FA" w:rsidR="00555E82" w:rsidRDefault="00555E82" w:rsidP="00555E82">
      <w:pPr>
        <w:rPr>
          <w:rFonts w:cstheme="minorHAnsi"/>
        </w:rPr>
      </w:pPr>
      <w:r w:rsidRPr="00F81CB0">
        <w:rPr>
          <w:rFonts w:cstheme="minorHAnsi"/>
        </w:rPr>
        <w:sym w:font="Symbol" w:char="F0B7"/>
      </w:r>
      <w:r w:rsidRPr="00F81CB0">
        <w:rPr>
          <w:rFonts w:cstheme="minorHAnsi"/>
        </w:rPr>
        <w:t xml:space="preserve"> Female Genital Mutilation</w:t>
      </w:r>
    </w:p>
    <w:p w14:paraId="6C0DF358" w14:textId="77777777" w:rsidR="00555E82" w:rsidRPr="00473159" w:rsidRDefault="00555E82" w:rsidP="00555E82">
      <w:pPr>
        <w:rPr>
          <w:rFonts w:cstheme="minorHAnsi"/>
          <w:b/>
          <w:bCs/>
          <w:sz w:val="32"/>
          <w:szCs w:val="32"/>
        </w:rPr>
      </w:pPr>
      <w:r w:rsidRPr="00473159">
        <w:rPr>
          <w:rFonts w:cstheme="minorHAnsi"/>
          <w:b/>
          <w:bCs/>
          <w:sz w:val="32"/>
          <w:szCs w:val="32"/>
        </w:rPr>
        <w:t xml:space="preserve">Contextual Safeguarding </w:t>
      </w:r>
    </w:p>
    <w:p w14:paraId="6E3D73CC" w14:textId="7B7264B7" w:rsidR="00555E82" w:rsidRPr="00F81CB0" w:rsidRDefault="00555E82" w:rsidP="00555E82">
      <w:pPr>
        <w:rPr>
          <w:rFonts w:cstheme="minorHAnsi"/>
        </w:rPr>
      </w:pPr>
      <w:r w:rsidRPr="00F81CB0">
        <w:rPr>
          <w:rFonts w:cstheme="minorHAnsi"/>
        </w:rPr>
        <w:t xml:space="preserve">Contextual Safeguarding is an approach to safeguarding children and young people that responds to their experiences of harm outside of the home. Contextual Safeguarding recognises that during adolescence young people spend increasing amounts of time in places outside of the home. These social settings (referred to as contexts) such as peer groups, schools </w:t>
      </w:r>
      <w:r w:rsidR="00041B9A" w:rsidRPr="002A4290">
        <w:rPr>
          <w:rFonts w:cstheme="minorHAnsi"/>
          <w:color w:val="000000" w:themeColor="text1"/>
        </w:rPr>
        <w:t>and, neighbourhoods</w:t>
      </w:r>
      <w:r w:rsidRPr="00F81CB0">
        <w:rPr>
          <w:rFonts w:cstheme="minorHAnsi"/>
        </w:rPr>
        <w:t>, are sometimes locations where young people may encounter exploitation.</w:t>
      </w:r>
    </w:p>
    <w:p w14:paraId="46904AA0" w14:textId="2A5590D7" w:rsidR="00555E82" w:rsidRPr="00F81CB0" w:rsidRDefault="00555E82" w:rsidP="00555E82">
      <w:pPr>
        <w:rPr>
          <w:rFonts w:cstheme="minorHAnsi"/>
        </w:rPr>
      </w:pPr>
      <w:r w:rsidRPr="00F81CB0">
        <w:rPr>
          <w:rFonts w:cstheme="minorHAnsi"/>
        </w:rPr>
        <w:t xml:space="preserve"> In some cases, young people’s experiences of exploitation are facilitated and exacerbated by the ‘context’, such as child sexual exploitation that takes place in a park or criminal exploitation in an abandoned house. Contextual Safeguarding therefore promotes the extension of the parameters of child protection to ensure safeguarding partnerships can refer, </w:t>
      </w:r>
      <w:r w:rsidR="00041B9A" w:rsidRPr="00F81CB0">
        <w:rPr>
          <w:rFonts w:cstheme="minorHAnsi"/>
        </w:rPr>
        <w:t>assess,</w:t>
      </w:r>
      <w:r w:rsidRPr="00F81CB0">
        <w:rPr>
          <w:rFonts w:cstheme="minorHAnsi"/>
        </w:rPr>
        <w:t xml:space="preserve"> and intervene with these contexts – and for this to be connected to a broader contextualisation of child and family work.</w:t>
      </w:r>
    </w:p>
    <w:p w14:paraId="1243D4E5" w14:textId="77777777" w:rsidR="00555E82" w:rsidRPr="00F81CB0" w:rsidRDefault="00555E82" w:rsidP="00555E82">
      <w:pPr>
        <w:rPr>
          <w:rFonts w:cstheme="minorHAnsi"/>
        </w:rPr>
      </w:pPr>
      <w:r w:rsidRPr="00F81CB0">
        <w:rPr>
          <w:rFonts w:cstheme="minorHAnsi"/>
        </w:rPr>
        <w:lastRenderedPageBreak/>
        <w:t xml:space="preserve">The broad contextual impacts of exploitation present challenges to traditional safeguarding models, which assess and intervene with families to keep young people safe and are arguably designed for younger children experiencing harm in the family (Bilston, 2006; Hanson and Holmes, 2014). Exploitation largely manifests within extra-familial settings, including schools and neighbourhoods, where it can impact a young person’s safety and undermine otherwise relatively safe and protective families (Firmin, 2017b; Hanson and Holmes, 2014; </w:t>
      </w:r>
      <w:proofErr w:type="spellStart"/>
      <w:r w:rsidRPr="00F81CB0">
        <w:rPr>
          <w:rFonts w:cstheme="minorHAnsi"/>
        </w:rPr>
        <w:t>Hudek</w:t>
      </w:r>
      <w:proofErr w:type="spellEnd"/>
      <w:r w:rsidRPr="00F81CB0">
        <w:rPr>
          <w:rFonts w:cstheme="minorHAnsi"/>
        </w:rPr>
        <w:t>, 2018). When vulnerabilities within families – from domestic abuse or parental mental ill-health, through to criminal associations – interface with extra-familial risks, the vulnerability of young people at home and outside can increase further.</w:t>
      </w:r>
    </w:p>
    <w:p w14:paraId="4F4B01C6" w14:textId="54E1F8B0" w:rsidR="00555E82" w:rsidRPr="00F81CB0" w:rsidRDefault="00555E82" w:rsidP="00555E82">
      <w:pPr>
        <w:rPr>
          <w:rFonts w:cstheme="minorHAnsi"/>
        </w:rPr>
      </w:pPr>
      <w:r w:rsidRPr="00F81CB0">
        <w:rPr>
          <w:rFonts w:cstheme="minorHAnsi"/>
        </w:rPr>
        <w:t xml:space="preserve"> It is imperative that professionals recognise behaviours in children and young people as indicators of vulnerability and are not impacted by bias, </w:t>
      </w:r>
      <w:r w:rsidR="00041B9A" w:rsidRPr="00F81CB0">
        <w:rPr>
          <w:rFonts w:cstheme="minorHAnsi"/>
        </w:rPr>
        <w:t>stereotypes,</w:t>
      </w:r>
      <w:r w:rsidRPr="00F81CB0">
        <w:rPr>
          <w:rFonts w:cstheme="minorHAnsi"/>
        </w:rPr>
        <w:t xml:space="preserve"> and prejudice, or misconceive indicators of vulnerability, as evidence that a young person is ‘antisocial’ or a ‘troublemaker’ rather than in need of support (Ofsted, 2018b; Rees et al, 2010). Gender stereotypes have also been drawn upon – for example, labelling young women who have been sexually exploited as ‘promiscuous’ – enabled by (and further enabling) victim-blaming narratives associated to sexual violence (Eaton and Holmes, 2017). </w:t>
      </w:r>
    </w:p>
    <w:p w14:paraId="0B8FE5B2" w14:textId="77777777" w:rsidR="00555E82" w:rsidRPr="00F81CB0" w:rsidRDefault="00555E82" w:rsidP="00555E82">
      <w:pPr>
        <w:rPr>
          <w:rFonts w:cstheme="minorHAnsi"/>
        </w:rPr>
      </w:pPr>
      <w:r w:rsidRPr="00F81CB0">
        <w:rPr>
          <w:rFonts w:cstheme="minorHAnsi"/>
        </w:rPr>
        <w:t>An inability to understand the impact of trauma on people’s behaviour is a further contributory factor to the under-recognition of abuse (Taggart, 2018).</w:t>
      </w:r>
    </w:p>
    <w:p w14:paraId="7AEE2C48" w14:textId="3C51A4C9" w:rsidR="00555E82" w:rsidRDefault="00555E82" w:rsidP="00555E82">
      <w:pPr>
        <w:rPr>
          <w:rFonts w:cstheme="minorHAnsi"/>
          <w:b/>
          <w:bCs/>
          <w:sz w:val="32"/>
          <w:szCs w:val="32"/>
        </w:rPr>
      </w:pPr>
      <w:r w:rsidRPr="00F81CB0">
        <w:rPr>
          <w:rFonts w:cstheme="minorHAnsi"/>
          <w:b/>
          <w:bCs/>
          <w:sz w:val="32"/>
          <w:szCs w:val="32"/>
        </w:rPr>
        <w:t>Training levels</w:t>
      </w:r>
    </w:p>
    <w:p w14:paraId="232B8585" w14:textId="052CD279" w:rsidR="009F3A18" w:rsidRDefault="009F3A18" w:rsidP="00555E82">
      <w:pPr>
        <w:rPr>
          <w:rFonts w:cstheme="minorHAnsi"/>
          <w:b/>
          <w:bCs/>
          <w:sz w:val="32"/>
          <w:szCs w:val="32"/>
        </w:rPr>
      </w:pPr>
      <w:r>
        <w:rPr>
          <w:rFonts w:cstheme="minorHAnsi"/>
          <w:b/>
          <w:bCs/>
          <w:sz w:val="32"/>
          <w:szCs w:val="32"/>
        </w:rPr>
        <w:t>Foundation</w:t>
      </w:r>
    </w:p>
    <w:p w14:paraId="150790F7" w14:textId="6E5E8CEF" w:rsidR="009F3A18" w:rsidRPr="009F3A18" w:rsidRDefault="009F3A18" w:rsidP="009F3A18">
      <w:pPr>
        <w:numPr>
          <w:ilvl w:val="0"/>
          <w:numId w:val="2"/>
        </w:numPr>
        <w:rPr>
          <w:rFonts w:cstheme="minorHAnsi"/>
          <w:b/>
          <w:bCs/>
          <w:sz w:val="24"/>
          <w:szCs w:val="24"/>
        </w:rPr>
      </w:pPr>
      <w:r w:rsidRPr="009F3A18">
        <w:rPr>
          <w:rFonts w:cstheme="minorHAnsi"/>
          <w:b/>
          <w:bCs/>
          <w:sz w:val="24"/>
          <w:szCs w:val="24"/>
        </w:rPr>
        <w:t xml:space="preserve">Those who have contact with children who may become aware of possible abuse and neglect </w:t>
      </w:r>
    </w:p>
    <w:p w14:paraId="5E511225" w14:textId="181D325A" w:rsidR="009F3A18" w:rsidRPr="009F3A18" w:rsidRDefault="00041B9A" w:rsidP="009F3A18">
      <w:pPr>
        <w:numPr>
          <w:ilvl w:val="0"/>
          <w:numId w:val="2"/>
        </w:numPr>
        <w:rPr>
          <w:rFonts w:cstheme="minorHAnsi"/>
          <w:b/>
          <w:bCs/>
          <w:sz w:val="24"/>
          <w:szCs w:val="24"/>
        </w:rPr>
      </w:pPr>
      <w:r w:rsidRPr="009F3A18">
        <w:rPr>
          <w:rFonts w:cstheme="minorHAnsi"/>
          <w:b/>
          <w:bCs/>
          <w:sz w:val="24"/>
          <w:szCs w:val="24"/>
        </w:rPr>
        <w:t>i.e.,</w:t>
      </w:r>
      <w:r w:rsidR="009F3A18" w:rsidRPr="009F3A18">
        <w:rPr>
          <w:rFonts w:cstheme="minorHAnsi"/>
          <w:b/>
          <w:bCs/>
          <w:sz w:val="24"/>
          <w:szCs w:val="24"/>
        </w:rPr>
        <w:t xml:space="preserve"> adult services, </w:t>
      </w:r>
      <w:r w:rsidR="00E17C72" w:rsidRPr="009F3A18">
        <w:rPr>
          <w:rFonts w:cstheme="minorHAnsi"/>
          <w:b/>
          <w:bCs/>
          <w:sz w:val="24"/>
          <w:szCs w:val="24"/>
        </w:rPr>
        <w:t>GPs,</w:t>
      </w:r>
      <w:r w:rsidR="009F3A18" w:rsidRPr="009F3A18">
        <w:rPr>
          <w:rFonts w:cstheme="minorHAnsi"/>
          <w:b/>
          <w:bCs/>
          <w:sz w:val="24"/>
          <w:szCs w:val="24"/>
        </w:rPr>
        <w:t xml:space="preserve"> elected members, receptionists. Council staff, faith groups, voluntary sector</w:t>
      </w:r>
    </w:p>
    <w:p w14:paraId="7895AA26" w14:textId="6731FB0B" w:rsidR="009F3A18" w:rsidRPr="009F3A18" w:rsidRDefault="009F3A18" w:rsidP="00555E82">
      <w:pPr>
        <w:rPr>
          <w:rFonts w:cstheme="minorHAnsi"/>
          <w:b/>
          <w:bCs/>
          <w:sz w:val="24"/>
          <w:szCs w:val="24"/>
        </w:rPr>
      </w:pPr>
    </w:p>
    <w:p w14:paraId="7D9F3A73" w14:textId="4D5670D9" w:rsidR="009F3A18" w:rsidRDefault="009F3A18" w:rsidP="00555E82">
      <w:pPr>
        <w:rPr>
          <w:rFonts w:cstheme="minorHAnsi"/>
          <w:b/>
          <w:bCs/>
          <w:sz w:val="32"/>
          <w:szCs w:val="32"/>
        </w:rPr>
      </w:pPr>
      <w:r>
        <w:rPr>
          <w:rFonts w:cstheme="minorHAnsi"/>
          <w:b/>
          <w:bCs/>
          <w:sz w:val="32"/>
          <w:szCs w:val="32"/>
        </w:rPr>
        <w:t>Core 1</w:t>
      </w:r>
    </w:p>
    <w:p w14:paraId="340276E7" w14:textId="77777777" w:rsidR="009F3A18" w:rsidRPr="009F3A18" w:rsidRDefault="009F3A18" w:rsidP="009F3A18">
      <w:pPr>
        <w:numPr>
          <w:ilvl w:val="0"/>
          <w:numId w:val="3"/>
        </w:numPr>
        <w:rPr>
          <w:rFonts w:cstheme="minorHAnsi"/>
          <w:b/>
          <w:bCs/>
          <w:sz w:val="24"/>
          <w:szCs w:val="24"/>
        </w:rPr>
      </w:pPr>
      <w:r w:rsidRPr="009F3A18">
        <w:rPr>
          <w:rFonts w:cstheme="minorHAnsi"/>
          <w:b/>
          <w:bCs/>
          <w:sz w:val="24"/>
          <w:szCs w:val="24"/>
        </w:rPr>
        <w:t>Those who predominantly work with children and/or who have responsibility for safeguarding within their organisation</w:t>
      </w:r>
    </w:p>
    <w:p w14:paraId="5D9847AB" w14:textId="21DF9EE5" w:rsidR="009F3A18" w:rsidRPr="009F3A18" w:rsidRDefault="00E17C72" w:rsidP="009F3A18">
      <w:pPr>
        <w:numPr>
          <w:ilvl w:val="0"/>
          <w:numId w:val="3"/>
        </w:numPr>
        <w:rPr>
          <w:rFonts w:cstheme="minorHAnsi"/>
          <w:b/>
          <w:bCs/>
          <w:sz w:val="24"/>
          <w:szCs w:val="24"/>
        </w:rPr>
      </w:pPr>
      <w:r w:rsidRPr="009F3A18">
        <w:rPr>
          <w:rFonts w:cstheme="minorHAnsi"/>
          <w:b/>
          <w:bCs/>
          <w:sz w:val="24"/>
          <w:szCs w:val="24"/>
        </w:rPr>
        <w:t>i.e.,</w:t>
      </w:r>
      <w:r w:rsidR="009F3A18" w:rsidRPr="009F3A18">
        <w:rPr>
          <w:rFonts w:cstheme="minorHAnsi"/>
          <w:b/>
          <w:bCs/>
          <w:sz w:val="24"/>
          <w:szCs w:val="24"/>
        </w:rPr>
        <w:t xml:space="preserve"> housing, youth justice, police, probation, health, education, children social care, voluntary sector, designated leads, early help, specialist services</w:t>
      </w:r>
    </w:p>
    <w:p w14:paraId="6CB6F3DD" w14:textId="08341A10" w:rsidR="009F3A18" w:rsidRDefault="009F3A18" w:rsidP="00555E82">
      <w:pPr>
        <w:rPr>
          <w:rFonts w:cstheme="minorHAnsi"/>
          <w:b/>
          <w:bCs/>
          <w:sz w:val="32"/>
          <w:szCs w:val="32"/>
        </w:rPr>
      </w:pPr>
      <w:r>
        <w:rPr>
          <w:rFonts w:cstheme="minorHAnsi"/>
          <w:b/>
          <w:bCs/>
          <w:sz w:val="32"/>
          <w:szCs w:val="32"/>
        </w:rPr>
        <w:t>Core 2</w:t>
      </w:r>
    </w:p>
    <w:p w14:paraId="18424A04" w14:textId="77777777" w:rsidR="009F3A18" w:rsidRPr="009F3A18" w:rsidRDefault="009F3A18" w:rsidP="009F3A18">
      <w:pPr>
        <w:numPr>
          <w:ilvl w:val="0"/>
          <w:numId w:val="4"/>
        </w:numPr>
        <w:rPr>
          <w:rFonts w:cstheme="minorHAnsi"/>
          <w:b/>
          <w:bCs/>
          <w:sz w:val="24"/>
          <w:szCs w:val="24"/>
        </w:rPr>
      </w:pPr>
      <w:r w:rsidRPr="009F3A18">
        <w:rPr>
          <w:rFonts w:cstheme="minorHAnsi"/>
          <w:b/>
          <w:bCs/>
          <w:sz w:val="24"/>
          <w:szCs w:val="24"/>
        </w:rPr>
        <w:t>Those whose work contributes to assessment, planning interventions, and reviewing the needs of a child.</w:t>
      </w:r>
    </w:p>
    <w:p w14:paraId="421E3034" w14:textId="4F9A8D4E" w:rsidR="009F3A18" w:rsidRPr="009F3A18" w:rsidRDefault="009F3A18" w:rsidP="009F3A18">
      <w:pPr>
        <w:numPr>
          <w:ilvl w:val="0"/>
          <w:numId w:val="4"/>
        </w:numPr>
        <w:rPr>
          <w:rFonts w:cstheme="minorHAnsi"/>
          <w:b/>
          <w:bCs/>
          <w:sz w:val="24"/>
          <w:szCs w:val="24"/>
        </w:rPr>
      </w:pPr>
      <w:r w:rsidRPr="009F3A18">
        <w:rPr>
          <w:rFonts w:cstheme="minorHAnsi"/>
          <w:b/>
          <w:bCs/>
          <w:sz w:val="24"/>
          <w:szCs w:val="24"/>
        </w:rPr>
        <w:lastRenderedPageBreak/>
        <w:t xml:space="preserve"> Those with responsibility to contribute/coordinate section 47 enquiries, </w:t>
      </w:r>
      <w:r w:rsidR="00E17C72" w:rsidRPr="009F3A18">
        <w:rPr>
          <w:rFonts w:cstheme="minorHAnsi"/>
          <w:b/>
          <w:bCs/>
          <w:sz w:val="24"/>
          <w:szCs w:val="24"/>
        </w:rPr>
        <w:t>assessments,</w:t>
      </w:r>
      <w:r w:rsidRPr="009F3A18">
        <w:rPr>
          <w:rFonts w:cstheme="minorHAnsi"/>
          <w:b/>
          <w:bCs/>
          <w:sz w:val="24"/>
          <w:szCs w:val="24"/>
        </w:rPr>
        <w:t xml:space="preserve"> and plans</w:t>
      </w:r>
    </w:p>
    <w:p w14:paraId="1B2C0FF0" w14:textId="082BB52E" w:rsidR="009F3A18" w:rsidRPr="009F3A18" w:rsidRDefault="009F3A18" w:rsidP="009F3A18">
      <w:pPr>
        <w:numPr>
          <w:ilvl w:val="0"/>
          <w:numId w:val="4"/>
        </w:numPr>
        <w:rPr>
          <w:rFonts w:cstheme="minorHAnsi"/>
          <w:b/>
          <w:bCs/>
          <w:sz w:val="24"/>
          <w:szCs w:val="24"/>
        </w:rPr>
      </w:pPr>
      <w:r w:rsidRPr="009F3A18">
        <w:rPr>
          <w:rFonts w:cstheme="minorHAnsi"/>
          <w:b/>
          <w:bCs/>
          <w:sz w:val="24"/>
          <w:szCs w:val="24"/>
        </w:rPr>
        <w:t xml:space="preserve"> Those responsible for supervision, </w:t>
      </w:r>
      <w:r w:rsidR="00E17C72" w:rsidRPr="009F3A18">
        <w:rPr>
          <w:rFonts w:cstheme="minorHAnsi"/>
          <w:b/>
          <w:bCs/>
          <w:sz w:val="24"/>
          <w:szCs w:val="24"/>
        </w:rPr>
        <w:t>management,</w:t>
      </w:r>
      <w:r w:rsidRPr="009F3A18">
        <w:rPr>
          <w:rFonts w:cstheme="minorHAnsi"/>
          <w:b/>
          <w:bCs/>
          <w:sz w:val="24"/>
          <w:szCs w:val="24"/>
        </w:rPr>
        <w:t xml:space="preserve"> and strategic oversight, named persons</w:t>
      </w:r>
    </w:p>
    <w:p w14:paraId="046C23E3" w14:textId="6512BA3C" w:rsidR="009F3A18" w:rsidRPr="009F3A18" w:rsidRDefault="00E17C72" w:rsidP="009F3A18">
      <w:pPr>
        <w:numPr>
          <w:ilvl w:val="0"/>
          <w:numId w:val="4"/>
        </w:numPr>
        <w:rPr>
          <w:rFonts w:cstheme="minorHAnsi"/>
          <w:b/>
          <w:bCs/>
          <w:sz w:val="24"/>
          <w:szCs w:val="24"/>
        </w:rPr>
      </w:pPr>
      <w:r w:rsidRPr="009F3A18">
        <w:rPr>
          <w:rFonts w:cstheme="minorHAnsi"/>
          <w:b/>
          <w:bCs/>
          <w:sz w:val="24"/>
          <w:szCs w:val="24"/>
        </w:rPr>
        <w:t>i.e.,</w:t>
      </w:r>
      <w:r w:rsidR="009F3A18" w:rsidRPr="009F3A18">
        <w:rPr>
          <w:rFonts w:cstheme="minorHAnsi"/>
          <w:b/>
          <w:bCs/>
          <w:sz w:val="24"/>
          <w:szCs w:val="24"/>
        </w:rPr>
        <w:t xml:space="preserve"> paediatricians, managers, probation, police, health, education, housing, children’s social care</w:t>
      </w:r>
    </w:p>
    <w:p w14:paraId="51D89A7F" w14:textId="77777777" w:rsidR="009F3A18" w:rsidRPr="009F3A18" w:rsidRDefault="009F3A18" w:rsidP="00555E82">
      <w:pPr>
        <w:rPr>
          <w:rFonts w:cstheme="minorHAnsi"/>
          <w:b/>
          <w:bCs/>
          <w:sz w:val="24"/>
          <w:szCs w:val="24"/>
        </w:rPr>
      </w:pPr>
    </w:p>
    <w:p w14:paraId="3CEC14B6" w14:textId="77777777" w:rsidR="009F3A18" w:rsidRPr="009F3A18" w:rsidRDefault="009F3A18" w:rsidP="00555E82">
      <w:pPr>
        <w:rPr>
          <w:rFonts w:cstheme="minorHAnsi"/>
          <w:b/>
          <w:bCs/>
          <w:sz w:val="24"/>
          <w:szCs w:val="24"/>
        </w:rPr>
      </w:pPr>
    </w:p>
    <w:p w14:paraId="25D9F1FA" w14:textId="1E25C95C" w:rsidR="00555E82" w:rsidRDefault="00555E82" w:rsidP="00555E82">
      <w:pPr>
        <w:rPr>
          <w:rFonts w:cstheme="minorHAnsi"/>
        </w:rPr>
      </w:pPr>
    </w:p>
    <w:p w14:paraId="2AAA83FF" w14:textId="6A96A29A" w:rsidR="00555E82" w:rsidRDefault="00555E82" w:rsidP="00555E82">
      <w:pPr>
        <w:rPr>
          <w:rFonts w:cstheme="minorHAnsi"/>
        </w:rPr>
      </w:pPr>
    </w:p>
    <w:tbl>
      <w:tblPr>
        <w:tblStyle w:val="TableGrid"/>
        <w:tblW w:w="0" w:type="auto"/>
        <w:tblLook w:val="04A0" w:firstRow="1" w:lastRow="0" w:firstColumn="1" w:lastColumn="0" w:noHBand="0" w:noVBand="1"/>
      </w:tblPr>
      <w:tblGrid>
        <w:gridCol w:w="4890"/>
        <w:gridCol w:w="1152"/>
        <w:gridCol w:w="7390"/>
      </w:tblGrid>
      <w:tr w:rsidR="00A21117" w:rsidRPr="00F81CB0" w14:paraId="208E5AA0" w14:textId="77777777" w:rsidTr="00A21117">
        <w:trPr>
          <w:trHeight w:val="4662"/>
        </w:trPr>
        <w:tc>
          <w:tcPr>
            <w:tcW w:w="4890" w:type="dxa"/>
          </w:tcPr>
          <w:p w14:paraId="0ED49825" w14:textId="77777777" w:rsidR="00A21117" w:rsidRPr="00473159" w:rsidRDefault="00A21117" w:rsidP="002A4290">
            <w:pPr>
              <w:spacing w:before="100" w:beforeAutospacing="1" w:after="100" w:afterAutospacing="1"/>
              <w:rPr>
                <w:rFonts w:cstheme="minorHAnsi"/>
                <w:b/>
                <w:bCs/>
              </w:rPr>
            </w:pPr>
            <w:r w:rsidRPr="00473159">
              <w:rPr>
                <w:rFonts w:cstheme="minorHAnsi"/>
                <w:b/>
                <w:bCs/>
              </w:rPr>
              <w:t>Appropriate use of language</w:t>
            </w:r>
          </w:p>
          <w:p w14:paraId="267B6ECE" w14:textId="0E958025" w:rsidR="00A21117" w:rsidRPr="00F81CB0" w:rsidRDefault="00E17C72" w:rsidP="002A4290">
            <w:pPr>
              <w:spacing w:before="100" w:beforeAutospacing="1" w:after="100" w:afterAutospacing="1"/>
              <w:rPr>
                <w:rFonts w:cstheme="minorHAnsi"/>
                <w:b/>
                <w:bCs/>
              </w:rPr>
            </w:pPr>
            <w:r>
              <w:rPr>
                <w:rFonts w:cstheme="minorHAnsi"/>
                <w:b/>
                <w:bCs/>
              </w:rPr>
              <w:t>Audience - Foundation</w:t>
            </w:r>
            <w:r w:rsidR="00A21117" w:rsidRPr="00F81CB0">
              <w:rPr>
                <w:rFonts w:cstheme="minorHAnsi"/>
                <w:b/>
                <w:bCs/>
              </w:rPr>
              <w:t xml:space="preserve"> </w:t>
            </w:r>
          </w:p>
          <w:p w14:paraId="685698F2" w14:textId="77777777" w:rsidR="00A21117" w:rsidRPr="00F81CB0" w:rsidRDefault="00A21117" w:rsidP="002A4290">
            <w:pPr>
              <w:spacing w:before="100" w:beforeAutospacing="1" w:after="100" w:afterAutospacing="1"/>
              <w:rPr>
                <w:rFonts w:cstheme="minorHAnsi"/>
                <w:b/>
                <w:bCs/>
              </w:rPr>
            </w:pPr>
          </w:p>
        </w:tc>
        <w:tc>
          <w:tcPr>
            <w:tcW w:w="1152" w:type="dxa"/>
          </w:tcPr>
          <w:p w14:paraId="47D3F6D8" w14:textId="77777777" w:rsidR="00A21117" w:rsidRDefault="005803F5" w:rsidP="002A4290">
            <w:pPr>
              <w:spacing w:before="100" w:beforeAutospacing="1" w:after="100" w:afterAutospacing="1"/>
              <w:rPr>
                <w:rFonts w:cstheme="minorHAnsi"/>
              </w:rPr>
            </w:pPr>
            <w:r>
              <w:rPr>
                <w:rFonts w:cstheme="minorHAnsi"/>
              </w:rPr>
              <w:t>Face to face</w:t>
            </w:r>
          </w:p>
          <w:p w14:paraId="0928776B" w14:textId="355705CC" w:rsidR="00FA64EB" w:rsidRPr="00F81CB0" w:rsidRDefault="00FA64EB" w:rsidP="002A4290">
            <w:pPr>
              <w:spacing w:before="100" w:beforeAutospacing="1" w:after="100" w:afterAutospacing="1"/>
              <w:rPr>
                <w:rFonts w:cstheme="minorHAnsi"/>
              </w:rPr>
            </w:pPr>
            <w:r>
              <w:rPr>
                <w:rFonts w:cstheme="minorHAnsi"/>
              </w:rPr>
              <w:t>2 Hours</w:t>
            </w:r>
          </w:p>
        </w:tc>
        <w:tc>
          <w:tcPr>
            <w:tcW w:w="7390" w:type="dxa"/>
          </w:tcPr>
          <w:p w14:paraId="2804ADD8" w14:textId="143EADB7" w:rsidR="00041B9A" w:rsidRDefault="00E17C72" w:rsidP="002A4290">
            <w:pPr>
              <w:jc w:val="both"/>
              <w:rPr>
                <w:rFonts w:cstheme="minorHAnsi"/>
                <w:sz w:val="20"/>
                <w:szCs w:val="20"/>
              </w:rPr>
            </w:pPr>
            <w:r>
              <w:rPr>
                <w:rFonts w:cstheme="minorHAnsi"/>
                <w:sz w:val="20"/>
                <w:szCs w:val="20"/>
              </w:rPr>
              <w:t xml:space="preserve">This </w:t>
            </w:r>
            <w:r w:rsidR="00041B9A">
              <w:rPr>
                <w:rFonts w:cstheme="minorHAnsi"/>
                <w:sz w:val="20"/>
                <w:szCs w:val="20"/>
              </w:rPr>
              <w:t>session</w:t>
            </w:r>
            <w:r>
              <w:rPr>
                <w:rFonts w:cstheme="minorHAnsi"/>
                <w:sz w:val="20"/>
                <w:szCs w:val="20"/>
              </w:rPr>
              <w:t xml:space="preserve"> is </w:t>
            </w:r>
            <w:r w:rsidR="00041B9A">
              <w:rPr>
                <w:rFonts w:cstheme="minorHAnsi"/>
                <w:sz w:val="20"/>
                <w:szCs w:val="20"/>
              </w:rPr>
              <w:t>delivered</w:t>
            </w:r>
            <w:r>
              <w:rPr>
                <w:rFonts w:cstheme="minorHAnsi"/>
                <w:sz w:val="20"/>
                <w:szCs w:val="20"/>
              </w:rPr>
              <w:t xml:space="preserve"> members of </w:t>
            </w:r>
            <w:r w:rsidR="00041B9A">
              <w:rPr>
                <w:rFonts w:cstheme="minorHAnsi"/>
                <w:sz w:val="20"/>
                <w:szCs w:val="20"/>
              </w:rPr>
              <w:t>Oldham’s</w:t>
            </w:r>
            <w:r>
              <w:rPr>
                <w:rFonts w:cstheme="minorHAnsi"/>
                <w:sz w:val="20"/>
                <w:szCs w:val="20"/>
              </w:rPr>
              <w:t xml:space="preserve"> </w:t>
            </w:r>
            <w:r w:rsidR="00041B9A">
              <w:rPr>
                <w:rFonts w:cstheme="minorHAnsi"/>
                <w:sz w:val="20"/>
                <w:szCs w:val="20"/>
              </w:rPr>
              <w:t>Complex</w:t>
            </w:r>
            <w:r>
              <w:rPr>
                <w:rFonts w:cstheme="minorHAnsi"/>
                <w:sz w:val="20"/>
                <w:szCs w:val="20"/>
              </w:rPr>
              <w:t xml:space="preserve"> Safeguarding Team</w:t>
            </w:r>
            <w:r w:rsidR="00041B9A">
              <w:rPr>
                <w:rFonts w:cstheme="minorHAnsi"/>
                <w:sz w:val="20"/>
                <w:szCs w:val="20"/>
              </w:rPr>
              <w:t>.</w:t>
            </w:r>
          </w:p>
          <w:p w14:paraId="7079F22D" w14:textId="1DCE73D6" w:rsidR="00A21117" w:rsidRPr="00F81CB0" w:rsidRDefault="00041B9A" w:rsidP="002A4290">
            <w:pPr>
              <w:jc w:val="both"/>
              <w:rPr>
                <w:rFonts w:cstheme="minorHAnsi"/>
                <w:sz w:val="20"/>
                <w:szCs w:val="20"/>
              </w:rPr>
            </w:pPr>
            <w:r>
              <w:rPr>
                <w:rFonts w:cstheme="minorHAnsi"/>
                <w:sz w:val="20"/>
                <w:szCs w:val="20"/>
              </w:rPr>
              <w:t>L</w:t>
            </w:r>
            <w:r w:rsidR="00A21117" w:rsidRPr="00F81CB0">
              <w:rPr>
                <w:rFonts w:cstheme="minorHAnsi"/>
                <w:sz w:val="20"/>
                <w:szCs w:val="20"/>
              </w:rPr>
              <w:t>anguage used by safeguarding professionals, is very important. Appropriate terminology is particularly important when used to discuss children and young people who have been exploited or are at risk of exploitation.</w:t>
            </w:r>
          </w:p>
          <w:p w14:paraId="114C8BEE" w14:textId="77777777" w:rsidR="00A21117" w:rsidRPr="00F81CB0" w:rsidRDefault="00A21117" w:rsidP="002A4290">
            <w:pPr>
              <w:jc w:val="both"/>
              <w:rPr>
                <w:rFonts w:cstheme="minorHAnsi"/>
                <w:sz w:val="20"/>
                <w:szCs w:val="20"/>
              </w:rPr>
            </w:pPr>
          </w:p>
          <w:p w14:paraId="40A0EC5F" w14:textId="77777777" w:rsidR="00A21117" w:rsidRPr="00F81CB0" w:rsidRDefault="00A21117" w:rsidP="002A4290">
            <w:pPr>
              <w:jc w:val="both"/>
              <w:rPr>
                <w:rFonts w:cstheme="minorHAnsi"/>
                <w:sz w:val="20"/>
                <w:szCs w:val="20"/>
              </w:rPr>
            </w:pPr>
            <w:r w:rsidRPr="00F81CB0">
              <w:rPr>
                <w:rFonts w:cstheme="minorHAnsi"/>
                <w:sz w:val="20"/>
                <w:szCs w:val="20"/>
              </w:rPr>
              <w:t xml:space="preserve">Language should reflect the presence of coercion and the lack of control young people have in abusive or exploitative situations and must recognise the severity of the impact that exploitation has on the child or young person. </w:t>
            </w:r>
          </w:p>
          <w:p w14:paraId="7898DA37" w14:textId="77777777" w:rsidR="00A21117" w:rsidRPr="00F81CB0" w:rsidRDefault="00A21117" w:rsidP="002A4290">
            <w:pPr>
              <w:jc w:val="both"/>
              <w:rPr>
                <w:rFonts w:cstheme="minorHAnsi"/>
                <w:sz w:val="20"/>
                <w:szCs w:val="20"/>
              </w:rPr>
            </w:pPr>
          </w:p>
          <w:p w14:paraId="1AF86ACA" w14:textId="77777777" w:rsidR="00A21117" w:rsidRPr="00F81CB0" w:rsidRDefault="00A21117" w:rsidP="002A4290">
            <w:pPr>
              <w:jc w:val="both"/>
              <w:rPr>
                <w:rFonts w:cstheme="minorHAnsi"/>
                <w:sz w:val="20"/>
                <w:szCs w:val="20"/>
              </w:rPr>
            </w:pPr>
            <w:r w:rsidRPr="00F81CB0">
              <w:rPr>
                <w:rFonts w:cstheme="minorHAnsi"/>
                <w:sz w:val="20"/>
                <w:szCs w:val="20"/>
              </w:rPr>
              <w:t>Victim-blaming language may reinforce messages from perpetrators around shame and guilt. This in turn may prevent the child or young person from disclosing their abuse, through fear of being blamed by professionals.</w:t>
            </w:r>
          </w:p>
          <w:p w14:paraId="47259622" w14:textId="77777777" w:rsidR="00A21117" w:rsidRPr="00F81CB0" w:rsidRDefault="00A21117" w:rsidP="002A4290">
            <w:pPr>
              <w:jc w:val="both"/>
              <w:rPr>
                <w:rFonts w:cstheme="minorHAnsi"/>
                <w:sz w:val="20"/>
                <w:szCs w:val="20"/>
              </w:rPr>
            </w:pPr>
          </w:p>
          <w:p w14:paraId="07FD6C86" w14:textId="77777777" w:rsidR="00A21117" w:rsidRPr="00F81CB0" w:rsidRDefault="00A21117" w:rsidP="002A4290">
            <w:pPr>
              <w:jc w:val="both"/>
              <w:rPr>
                <w:rFonts w:eastAsia="Times New Roman" w:cstheme="minorHAnsi"/>
                <w:color w:val="000000"/>
                <w:sz w:val="20"/>
                <w:szCs w:val="20"/>
              </w:rPr>
            </w:pPr>
            <w:r w:rsidRPr="00F81CB0">
              <w:rPr>
                <w:rFonts w:cstheme="minorHAnsi"/>
                <w:sz w:val="20"/>
                <w:szCs w:val="20"/>
              </w:rPr>
              <w:t xml:space="preserve">This session will explore the use of appropriate language </w:t>
            </w:r>
            <w:proofErr w:type="gramStart"/>
            <w:r w:rsidRPr="00F81CB0">
              <w:rPr>
                <w:rFonts w:cstheme="minorHAnsi"/>
                <w:sz w:val="20"/>
                <w:szCs w:val="20"/>
              </w:rPr>
              <w:t>in order to</w:t>
            </w:r>
            <w:proofErr w:type="gramEnd"/>
            <w:r w:rsidRPr="00F81CB0">
              <w:rPr>
                <w:rFonts w:cstheme="minorHAnsi"/>
                <w:sz w:val="20"/>
                <w:szCs w:val="20"/>
              </w:rPr>
              <w:t xml:space="preserve"> support professionals who are working with children and young people at risk of exploitation.</w:t>
            </w:r>
          </w:p>
          <w:p w14:paraId="2038FFD0" w14:textId="77777777" w:rsidR="00A21117" w:rsidRPr="00F81CB0" w:rsidRDefault="00A21117" w:rsidP="002A4290">
            <w:pPr>
              <w:spacing w:before="100" w:beforeAutospacing="1" w:after="100" w:afterAutospacing="1"/>
              <w:rPr>
                <w:rFonts w:cstheme="minorHAnsi"/>
                <w:sz w:val="20"/>
                <w:szCs w:val="20"/>
              </w:rPr>
            </w:pPr>
          </w:p>
        </w:tc>
      </w:tr>
    </w:tbl>
    <w:p w14:paraId="2FE8ED66" w14:textId="103764A0" w:rsidR="00555E82" w:rsidRDefault="00555E82" w:rsidP="00555E82">
      <w:pPr>
        <w:rPr>
          <w:rFonts w:cstheme="minorHAnsi"/>
        </w:rPr>
      </w:pPr>
    </w:p>
    <w:tbl>
      <w:tblPr>
        <w:tblStyle w:val="TableGrid"/>
        <w:tblW w:w="0" w:type="auto"/>
        <w:tblLook w:val="04A0" w:firstRow="1" w:lastRow="0" w:firstColumn="1" w:lastColumn="0" w:noHBand="0" w:noVBand="1"/>
      </w:tblPr>
      <w:tblGrid>
        <w:gridCol w:w="4890"/>
        <w:gridCol w:w="1152"/>
        <w:gridCol w:w="7390"/>
      </w:tblGrid>
      <w:tr w:rsidR="00A21117" w:rsidRPr="00F81CB0" w14:paraId="49271A3D" w14:textId="77777777" w:rsidTr="00A21117">
        <w:trPr>
          <w:trHeight w:val="1077"/>
        </w:trPr>
        <w:tc>
          <w:tcPr>
            <w:tcW w:w="4890" w:type="dxa"/>
          </w:tcPr>
          <w:p w14:paraId="31258912" w14:textId="77777777" w:rsidR="00A21117" w:rsidRPr="00473159" w:rsidRDefault="00A21117" w:rsidP="002A4290">
            <w:pPr>
              <w:spacing w:before="100" w:beforeAutospacing="1" w:after="100" w:afterAutospacing="1"/>
              <w:rPr>
                <w:rFonts w:cstheme="minorHAnsi"/>
                <w:b/>
                <w:bCs/>
              </w:rPr>
            </w:pPr>
            <w:r w:rsidRPr="00473159">
              <w:rPr>
                <w:rFonts w:cstheme="minorHAnsi"/>
                <w:b/>
                <w:bCs/>
              </w:rPr>
              <w:t xml:space="preserve">What is </w:t>
            </w:r>
            <w:r>
              <w:rPr>
                <w:rFonts w:cstheme="minorHAnsi"/>
                <w:b/>
                <w:bCs/>
              </w:rPr>
              <w:t>C</w:t>
            </w:r>
            <w:r w:rsidRPr="00473159">
              <w:rPr>
                <w:rFonts w:cstheme="minorHAnsi"/>
                <w:b/>
                <w:bCs/>
              </w:rPr>
              <w:t xml:space="preserve">omplex </w:t>
            </w:r>
            <w:r>
              <w:rPr>
                <w:rFonts w:cstheme="minorHAnsi"/>
                <w:b/>
                <w:bCs/>
              </w:rPr>
              <w:t>S</w:t>
            </w:r>
            <w:r w:rsidRPr="00473159">
              <w:rPr>
                <w:rFonts w:cstheme="minorHAnsi"/>
                <w:b/>
                <w:bCs/>
              </w:rPr>
              <w:t>afeguarding</w:t>
            </w:r>
          </w:p>
          <w:p w14:paraId="3FD3C2AE" w14:textId="286E5A68" w:rsidR="00A21117" w:rsidRPr="00F81CB0" w:rsidRDefault="00E17C72" w:rsidP="002A4290">
            <w:pPr>
              <w:spacing w:before="100" w:beforeAutospacing="1" w:after="100" w:afterAutospacing="1"/>
              <w:rPr>
                <w:rFonts w:cstheme="minorHAnsi"/>
                <w:b/>
                <w:bCs/>
              </w:rPr>
            </w:pPr>
            <w:r>
              <w:rPr>
                <w:rFonts w:cstheme="minorHAnsi"/>
                <w:b/>
                <w:bCs/>
              </w:rPr>
              <w:t xml:space="preserve">Audience - </w:t>
            </w:r>
            <w:r w:rsidR="00A21117" w:rsidRPr="00F81CB0">
              <w:rPr>
                <w:rFonts w:cstheme="minorHAnsi"/>
                <w:b/>
                <w:bCs/>
              </w:rPr>
              <w:t>Foundation level</w:t>
            </w:r>
          </w:p>
        </w:tc>
        <w:tc>
          <w:tcPr>
            <w:tcW w:w="1152" w:type="dxa"/>
          </w:tcPr>
          <w:p w14:paraId="2E4B3A8B" w14:textId="5561D8DB" w:rsidR="00FA64EB" w:rsidRDefault="00FA64EB" w:rsidP="002A4290">
            <w:pPr>
              <w:spacing w:before="100" w:beforeAutospacing="1" w:after="100" w:afterAutospacing="1"/>
              <w:rPr>
                <w:rFonts w:cstheme="minorHAnsi"/>
              </w:rPr>
            </w:pPr>
            <w:r>
              <w:rPr>
                <w:rFonts w:cstheme="minorHAnsi"/>
              </w:rPr>
              <w:t>Microsoft Teams</w:t>
            </w:r>
          </w:p>
          <w:p w14:paraId="25C938E7" w14:textId="34EF6BB4" w:rsidR="00FA64EB" w:rsidRDefault="00FA64EB" w:rsidP="002A4290">
            <w:pPr>
              <w:spacing w:before="100" w:beforeAutospacing="1" w:after="100" w:afterAutospacing="1"/>
              <w:rPr>
                <w:rFonts w:cstheme="minorHAnsi"/>
              </w:rPr>
            </w:pPr>
            <w:r>
              <w:rPr>
                <w:rFonts w:cstheme="minorHAnsi"/>
              </w:rPr>
              <w:t>2 hours</w:t>
            </w:r>
          </w:p>
          <w:p w14:paraId="7228C085" w14:textId="66862DA9" w:rsidR="00A21117" w:rsidRPr="00F81CB0" w:rsidRDefault="00A21117" w:rsidP="002A4290">
            <w:pPr>
              <w:spacing w:before="100" w:beforeAutospacing="1" w:after="100" w:afterAutospacing="1"/>
              <w:rPr>
                <w:rFonts w:cstheme="minorHAnsi"/>
              </w:rPr>
            </w:pPr>
          </w:p>
        </w:tc>
        <w:tc>
          <w:tcPr>
            <w:tcW w:w="7390" w:type="dxa"/>
          </w:tcPr>
          <w:p w14:paraId="206EA082" w14:textId="51CBF3A4" w:rsidR="00A21117" w:rsidRPr="00F81CB0" w:rsidRDefault="00E17C72" w:rsidP="002A4290">
            <w:pPr>
              <w:spacing w:before="100" w:beforeAutospacing="1" w:after="100" w:afterAutospacing="1"/>
              <w:rPr>
                <w:rFonts w:cstheme="minorHAnsi"/>
              </w:rPr>
            </w:pPr>
            <w:r>
              <w:rPr>
                <w:rFonts w:cstheme="minorHAnsi"/>
              </w:rPr>
              <w:t xml:space="preserve">This session </w:t>
            </w:r>
            <w:r w:rsidR="00A21117" w:rsidRPr="00F81CB0">
              <w:rPr>
                <w:rFonts w:cstheme="minorHAnsi"/>
              </w:rPr>
              <w:t>Introduc</w:t>
            </w:r>
            <w:r>
              <w:rPr>
                <w:rFonts w:cstheme="minorHAnsi"/>
              </w:rPr>
              <w:t>es</w:t>
            </w:r>
            <w:r w:rsidR="00A21117" w:rsidRPr="00F81CB0">
              <w:rPr>
                <w:rFonts w:cstheme="minorHAnsi"/>
              </w:rPr>
              <w:t xml:space="preserve"> the Oldham Complex Safeguarding Team </w:t>
            </w:r>
            <w:r w:rsidRPr="00F81CB0">
              <w:rPr>
                <w:rFonts w:cstheme="minorHAnsi"/>
              </w:rPr>
              <w:t xml:space="preserve">and </w:t>
            </w:r>
            <w:r>
              <w:rPr>
                <w:rFonts w:cstheme="minorHAnsi"/>
              </w:rPr>
              <w:t xml:space="preserve">its </w:t>
            </w:r>
            <w:r w:rsidR="00A21117" w:rsidRPr="00F81CB0">
              <w:rPr>
                <w:rFonts w:cstheme="minorHAnsi"/>
              </w:rPr>
              <w:t xml:space="preserve">links with Greater Manchester Complex Safeguarding </w:t>
            </w:r>
            <w:r>
              <w:rPr>
                <w:rFonts w:cstheme="minorHAnsi"/>
              </w:rPr>
              <w:t>N</w:t>
            </w:r>
            <w:r w:rsidR="00A21117" w:rsidRPr="00F81CB0">
              <w:rPr>
                <w:rFonts w:cstheme="minorHAnsi"/>
              </w:rPr>
              <w:t xml:space="preserve">etwork. </w:t>
            </w:r>
          </w:p>
          <w:p w14:paraId="4F106E2C" w14:textId="4A8B4E0D" w:rsidR="00A21117" w:rsidRPr="00F81CB0" w:rsidRDefault="00E17C72" w:rsidP="002A4290">
            <w:pPr>
              <w:spacing w:before="100" w:beforeAutospacing="1" w:after="100" w:afterAutospacing="1"/>
              <w:rPr>
                <w:rFonts w:cstheme="minorHAnsi"/>
              </w:rPr>
            </w:pPr>
            <w:r w:rsidRPr="00F81CB0">
              <w:rPr>
                <w:rFonts w:cstheme="minorHAnsi"/>
              </w:rPr>
              <w:t>Areas covered</w:t>
            </w:r>
            <w:r w:rsidR="00A21117" w:rsidRPr="00F81CB0">
              <w:rPr>
                <w:rFonts w:cstheme="minorHAnsi"/>
              </w:rPr>
              <w:t>-</w:t>
            </w:r>
          </w:p>
          <w:p w14:paraId="445F6ABF" w14:textId="77777777" w:rsidR="00A21117" w:rsidRPr="00F81CB0" w:rsidRDefault="00A21117" w:rsidP="002A4290">
            <w:pPr>
              <w:spacing w:before="100" w:beforeAutospacing="1" w:after="100" w:afterAutospacing="1"/>
              <w:rPr>
                <w:rFonts w:cstheme="minorHAnsi"/>
              </w:rPr>
            </w:pPr>
            <w:r w:rsidRPr="00F81CB0">
              <w:rPr>
                <w:rFonts w:cstheme="minorHAnsi"/>
              </w:rPr>
              <w:t>-How the team functions</w:t>
            </w:r>
          </w:p>
          <w:p w14:paraId="1B8EF648" w14:textId="77777777" w:rsidR="00A21117" w:rsidRPr="00F81CB0" w:rsidRDefault="00A21117" w:rsidP="002A4290">
            <w:pPr>
              <w:spacing w:before="100" w:beforeAutospacing="1" w:after="100" w:afterAutospacing="1"/>
              <w:rPr>
                <w:rFonts w:cstheme="minorHAnsi"/>
              </w:rPr>
            </w:pPr>
            <w:r w:rsidRPr="00F81CB0">
              <w:rPr>
                <w:rFonts w:cstheme="minorHAnsi"/>
              </w:rPr>
              <w:t xml:space="preserve">-Exploration of Child Sexual and Criminal Exploitation </w:t>
            </w:r>
          </w:p>
          <w:p w14:paraId="568AFA47" w14:textId="77777777" w:rsidR="00A21117" w:rsidRPr="00F81CB0" w:rsidRDefault="00A21117" w:rsidP="002A4290">
            <w:pPr>
              <w:spacing w:before="100" w:beforeAutospacing="1" w:after="100" w:afterAutospacing="1"/>
              <w:rPr>
                <w:rFonts w:cstheme="minorHAnsi"/>
              </w:rPr>
            </w:pPr>
            <w:r w:rsidRPr="00F81CB0">
              <w:rPr>
                <w:rFonts w:cstheme="minorHAnsi"/>
              </w:rPr>
              <w:t>-Risk indicators</w:t>
            </w:r>
          </w:p>
          <w:p w14:paraId="2CB052A1" w14:textId="77777777" w:rsidR="00A21117" w:rsidRPr="00F81CB0" w:rsidRDefault="00A21117" w:rsidP="002A4290">
            <w:pPr>
              <w:spacing w:before="100" w:beforeAutospacing="1" w:after="100" w:afterAutospacing="1"/>
              <w:rPr>
                <w:rFonts w:cstheme="minorHAnsi"/>
              </w:rPr>
            </w:pPr>
            <w:r w:rsidRPr="00F81CB0">
              <w:rPr>
                <w:rFonts w:cstheme="minorHAnsi"/>
              </w:rPr>
              <w:t xml:space="preserve">- Relational approach to working with young people </w:t>
            </w:r>
          </w:p>
          <w:p w14:paraId="035EC65B" w14:textId="77777777" w:rsidR="00A21117" w:rsidRPr="00F81CB0" w:rsidRDefault="00A21117" w:rsidP="002A4290">
            <w:pPr>
              <w:spacing w:before="100" w:beforeAutospacing="1" w:after="100" w:afterAutospacing="1"/>
              <w:rPr>
                <w:rFonts w:cstheme="minorHAnsi"/>
              </w:rPr>
            </w:pPr>
            <w:r w:rsidRPr="00F81CB0">
              <w:rPr>
                <w:rFonts w:cstheme="minorHAnsi"/>
              </w:rPr>
              <w:t>- Referral process</w:t>
            </w:r>
          </w:p>
          <w:p w14:paraId="65EC38B2" w14:textId="77777777" w:rsidR="00A21117" w:rsidRPr="00F81CB0" w:rsidRDefault="00A21117" w:rsidP="002A4290">
            <w:pPr>
              <w:spacing w:before="100" w:beforeAutospacing="1" w:after="100" w:afterAutospacing="1"/>
              <w:rPr>
                <w:rFonts w:cstheme="minorHAnsi"/>
              </w:rPr>
            </w:pPr>
            <w:r w:rsidRPr="00F81CB0">
              <w:rPr>
                <w:rFonts w:cstheme="minorHAnsi"/>
              </w:rPr>
              <w:t>-Exploring exploitation in the context of adolescence and trauma.</w:t>
            </w:r>
          </w:p>
          <w:p w14:paraId="3247E1E0" w14:textId="77777777" w:rsidR="00A21117" w:rsidRPr="00F81CB0" w:rsidRDefault="00A21117" w:rsidP="002A4290">
            <w:pPr>
              <w:spacing w:before="100" w:beforeAutospacing="1" w:after="100" w:afterAutospacing="1"/>
              <w:rPr>
                <w:rFonts w:cstheme="minorHAnsi"/>
              </w:rPr>
            </w:pPr>
          </w:p>
        </w:tc>
      </w:tr>
    </w:tbl>
    <w:p w14:paraId="381BFFF4" w14:textId="77777777" w:rsidR="00555E82" w:rsidRPr="00F81CB0" w:rsidRDefault="00555E82" w:rsidP="00555E82">
      <w:pPr>
        <w:rPr>
          <w:rFonts w:cstheme="minorHAnsi"/>
        </w:rPr>
      </w:pPr>
    </w:p>
    <w:p w14:paraId="11AC7842" w14:textId="72B76BB2" w:rsidR="00555E82" w:rsidRPr="00F81CB0" w:rsidRDefault="009F3A18" w:rsidP="00555E82">
      <w:pPr>
        <w:rPr>
          <w:rFonts w:cstheme="minorHAnsi"/>
        </w:rPr>
      </w:pPr>
      <w:r>
        <w:rPr>
          <w:rFonts w:cstheme="minorHAnsi"/>
        </w:rPr>
        <w:t xml:space="preserve">     </w:t>
      </w:r>
    </w:p>
    <w:tbl>
      <w:tblPr>
        <w:tblStyle w:val="TableGrid"/>
        <w:tblW w:w="0" w:type="auto"/>
        <w:tblLayout w:type="fixed"/>
        <w:tblLook w:val="04A0" w:firstRow="1" w:lastRow="0" w:firstColumn="1" w:lastColumn="0" w:noHBand="0" w:noVBand="1"/>
      </w:tblPr>
      <w:tblGrid>
        <w:gridCol w:w="4815"/>
        <w:gridCol w:w="1276"/>
        <w:gridCol w:w="7654"/>
        <w:gridCol w:w="203"/>
      </w:tblGrid>
      <w:tr w:rsidR="00555E82" w:rsidRPr="00F81CB0" w14:paraId="25E65450" w14:textId="77777777" w:rsidTr="009F3A18">
        <w:trPr>
          <w:gridAfter w:val="1"/>
          <w:wAfter w:w="203" w:type="dxa"/>
          <w:trHeight w:val="1077"/>
        </w:trPr>
        <w:tc>
          <w:tcPr>
            <w:tcW w:w="4815" w:type="dxa"/>
          </w:tcPr>
          <w:p w14:paraId="0B8A9C44" w14:textId="384F427C" w:rsidR="00555E82" w:rsidRPr="00473159" w:rsidRDefault="00555E82" w:rsidP="002A4290">
            <w:pPr>
              <w:spacing w:before="100" w:beforeAutospacing="1" w:after="100" w:afterAutospacing="1"/>
              <w:rPr>
                <w:rFonts w:cstheme="minorHAnsi"/>
                <w:b/>
                <w:bCs/>
              </w:rPr>
            </w:pPr>
            <w:r w:rsidRPr="00473159">
              <w:rPr>
                <w:rFonts w:cstheme="minorHAnsi"/>
                <w:b/>
                <w:bCs/>
              </w:rPr>
              <w:t>GM Complex Safeguarding Training</w:t>
            </w:r>
            <w:r w:rsidR="00E17C72">
              <w:rPr>
                <w:rFonts w:cstheme="minorHAnsi"/>
                <w:b/>
                <w:bCs/>
              </w:rPr>
              <w:t>-Understanding Exploitation</w:t>
            </w:r>
          </w:p>
          <w:p w14:paraId="1F659B98" w14:textId="5274133C" w:rsidR="00555E82" w:rsidRPr="00F81CB0" w:rsidRDefault="00555E82" w:rsidP="002A4290">
            <w:pPr>
              <w:spacing w:before="100" w:beforeAutospacing="1" w:after="100" w:afterAutospacing="1"/>
              <w:rPr>
                <w:rFonts w:cstheme="minorHAnsi"/>
                <w:b/>
                <w:bCs/>
              </w:rPr>
            </w:pPr>
            <w:r w:rsidRPr="00F81CB0">
              <w:rPr>
                <w:rFonts w:cstheme="minorHAnsi"/>
                <w:b/>
                <w:bCs/>
              </w:rPr>
              <w:t>Audience- Core Level</w:t>
            </w:r>
            <w:r w:rsidR="009F3A18">
              <w:rPr>
                <w:rFonts w:cstheme="minorHAnsi"/>
                <w:b/>
                <w:bCs/>
              </w:rPr>
              <w:t xml:space="preserve"> 1&amp; 2</w:t>
            </w:r>
          </w:p>
          <w:p w14:paraId="180EE0ED" w14:textId="77777777" w:rsidR="00555E82" w:rsidRPr="00F81CB0" w:rsidRDefault="00555E82" w:rsidP="002A4290">
            <w:pPr>
              <w:spacing w:before="100" w:beforeAutospacing="1" w:after="100" w:afterAutospacing="1"/>
              <w:rPr>
                <w:rFonts w:cstheme="minorHAnsi"/>
              </w:rPr>
            </w:pPr>
          </w:p>
        </w:tc>
        <w:tc>
          <w:tcPr>
            <w:tcW w:w="1276" w:type="dxa"/>
          </w:tcPr>
          <w:p w14:paraId="09A849CC" w14:textId="77777777" w:rsidR="00555E82" w:rsidRDefault="00C041CE" w:rsidP="002A4290">
            <w:pPr>
              <w:spacing w:before="100" w:beforeAutospacing="1" w:after="100" w:afterAutospacing="1"/>
              <w:rPr>
                <w:rFonts w:cstheme="minorHAnsi"/>
              </w:rPr>
            </w:pPr>
            <w:r>
              <w:rPr>
                <w:rFonts w:cstheme="minorHAnsi"/>
              </w:rPr>
              <w:t>Face to face</w:t>
            </w:r>
          </w:p>
          <w:p w14:paraId="0DD79B40" w14:textId="477C6B21" w:rsidR="00FA64EB" w:rsidRPr="00F81CB0" w:rsidRDefault="00FA64EB" w:rsidP="002A4290">
            <w:pPr>
              <w:spacing w:before="100" w:beforeAutospacing="1" w:after="100" w:afterAutospacing="1"/>
              <w:rPr>
                <w:rFonts w:cstheme="minorHAnsi"/>
              </w:rPr>
            </w:pPr>
            <w:r>
              <w:rPr>
                <w:rFonts w:cstheme="minorHAnsi"/>
              </w:rPr>
              <w:t>I day</w:t>
            </w:r>
          </w:p>
        </w:tc>
        <w:tc>
          <w:tcPr>
            <w:tcW w:w="7654" w:type="dxa"/>
          </w:tcPr>
          <w:p w14:paraId="0147825E" w14:textId="3D6AD389" w:rsidR="004966A4" w:rsidRDefault="004966A4" w:rsidP="004966A4">
            <w:pPr>
              <w:spacing w:before="100" w:beforeAutospacing="1" w:after="100" w:afterAutospacing="1"/>
              <w:rPr>
                <w:rFonts w:cstheme="minorHAnsi"/>
              </w:rPr>
            </w:pPr>
            <w:r>
              <w:rPr>
                <w:rFonts w:cstheme="minorHAnsi"/>
              </w:rPr>
              <w:t xml:space="preserve"> The </w:t>
            </w:r>
            <w:r w:rsidR="00555E82" w:rsidRPr="00F81CB0">
              <w:rPr>
                <w:rFonts w:cstheme="minorHAnsi"/>
              </w:rPr>
              <w:t xml:space="preserve">Understanding Exploitation </w:t>
            </w:r>
            <w:r w:rsidR="00E17C72">
              <w:rPr>
                <w:rFonts w:cstheme="minorHAnsi"/>
              </w:rPr>
              <w:t>T</w:t>
            </w:r>
            <w:r w:rsidRPr="00F81CB0">
              <w:rPr>
                <w:rFonts w:cstheme="minorHAnsi"/>
              </w:rPr>
              <w:t>raining</w:t>
            </w:r>
            <w:r>
              <w:rPr>
                <w:rFonts w:cstheme="minorHAnsi"/>
              </w:rPr>
              <w:t xml:space="preserve"> </w:t>
            </w:r>
            <w:r w:rsidR="00041B9A">
              <w:rPr>
                <w:rFonts w:cstheme="minorHAnsi"/>
              </w:rPr>
              <w:t xml:space="preserve">is delivered by members of Oldham’s Complex Safeguarding Team. It </w:t>
            </w:r>
            <w:r>
              <w:rPr>
                <w:rFonts w:cstheme="minorHAnsi"/>
              </w:rPr>
              <w:t xml:space="preserve">provides </w:t>
            </w:r>
            <w:r w:rsidR="00041B9A">
              <w:rPr>
                <w:rFonts w:cstheme="minorHAnsi"/>
              </w:rPr>
              <w:t>an in</w:t>
            </w:r>
            <w:r>
              <w:rPr>
                <w:rFonts w:cstheme="minorHAnsi"/>
              </w:rPr>
              <w:t>-depth</w:t>
            </w:r>
            <w:r w:rsidR="00041B9A">
              <w:rPr>
                <w:rFonts w:cstheme="minorHAnsi"/>
              </w:rPr>
              <w:t xml:space="preserve"> </w:t>
            </w:r>
            <w:r>
              <w:rPr>
                <w:rFonts w:cstheme="minorHAnsi"/>
              </w:rPr>
              <w:t>exploration o</w:t>
            </w:r>
            <w:r w:rsidR="00041B9A">
              <w:rPr>
                <w:rFonts w:cstheme="minorHAnsi"/>
              </w:rPr>
              <w:t>f</w:t>
            </w:r>
            <w:r>
              <w:rPr>
                <w:rFonts w:cstheme="minorHAnsi"/>
              </w:rPr>
              <w:t xml:space="preserve"> the following </w:t>
            </w:r>
          </w:p>
          <w:p w14:paraId="05869FFC" w14:textId="10594590" w:rsidR="004966A4" w:rsidRDefault="004966A4" w:rsidP="004966A4">
            <w:pPr>
              <w:spacing w:before="100" w:beforeAutospacing="1" w:after="100" w:afterAutospacing="1"/>
              <w:rPr>
                <w:rFonts w:cstheme="minorHAnsi"/>
              </w:rPr>
            </w:pPr>
            <w:r w:rsidRPr="00F81CB0">
              <w:rPr>
                <w:rFonts w:cstheme="minorHAnsi"/>
              </w:rPr>
              <w:t>What is Exploitation?</w:t>
            </w:r>
          </w:p>
          <w:p w14:paraId="47DD6A27" w14:textId="77777777" w:rsidR="004966A4" w:rsidRPr="00F81CB0" w:rsidRDefault="004966A4" w:rsidP="004966A4">
            <w:pPr>
              <w:spacing w:before="100" w:beforeAutospacing="1" w:after="100" w:afterAutospacing="1"/>
              <w:rPr>
                <w:rFonts w:cstheme="minorHAnsi"/>
              </w:rPr>
            </w:pPr>
            <w:r w:rsidRPr="00F81CB0">
              <w:rPr>
                <w:rFonts w:cstheme="minorHAnsi"/>
              </w:rPr>
              <w:t>Types of Exploitation</w:t>
            </w:r>
          </w:p>
          <w:p w14:paraId="7D926367" w14:textId="066246B0" w:rsidR="00555E82" w:rsidRDefault="00555E82" w:rsidP="002A4290">
            <w:pPr>
              <w:spacing w:before="100" w:beforeAutospacing="1" w:after="100" w:afterAutospacing="1"/>
              <w:rPr>
                <w:rFonts w:cstheme="minorHAnsi"/>
              </w:rPr>
            </w:pPr>
            <w:r w:rsidRPr="00F81CB0">
              <w:rPr>
                <w:rFonts w:cstheme="minorHAnsi"/>
              </w:rPr>
              <w:t>Diversity and Exploitation</w:t>
            </w:r>
          </w:p>
          <w:p w14:paraId="0EEF1D15" w14:textId="0F70FA4E" w:rsidR="004966A4" w:rsidRPr="00F81CB0" w:rsidRDefault="004966A4" w:rsidP="004966A4">
            <w:pPr>
              <w:spacing w:before="100" w:beforeAutospacing="1" w:after="100" w:afterAutospacing="1"/>
              <w:rPr>
                <w:rFonts w:cstheme="minorHAnsi"/>
              </w:rPr>
            </w:pPr>
            <w:r w:rsidRPr="00F81CB0">
              <w:rPr>
                <w:rFonts w:cstheme="minorHAnsi"/>
              </w:rPr>
              <w:t>Risks and Vulnerability</w:t>
            </w:r>
            <w:r>
              <w:rPr>
                <w:rFonts w:cstheme="minorHAnsi"/>
              </w:rPr>
              <w:t xml:space="preserve"> factors</w:t>
            </w:r>
            <w:r w:rsidR="00041B9A">
              <w:rPr>
                <w:rFonts w:cstheme="minorHAnsi"/>
              </w:rPr>
              <w:t xml:space="preserve"> for children and young people</w:t>
            </w:r>
          </w:p>
          <w:p w14:paraId="3AE5B450" w14:textId="600E7BD7" w:rsidR="00E17C72" w:rsidRDefault="004966A4" w:rsidP="002A4290">
            <w:pPr>
              <w:spacing w:before="100" w:beforeAutospacing="1" w:after="100" w:afterAutospacing="1"/>
              <w:rPr>
                <w:rFonts w:cstheme="minorHAnsi"/>
              </w:rPr>
            </w:pPr>
            <w:r w:rsidRPr="00F81CB0">
              <w:rPr>
                <w:rFonts w:cstheme="minorHAnsi"/>
              </w:rPr>
              <w:t>Push and Pull Factors</w:t>
            </w:r>
            <w:r>
              <w:rPr>
                <w:rFonts w:cstheme="minorHAnsi"/>
              </w:rPr>
              <w:t xml:space="preserve"> </w:t>
            </w:r>
            <w:r w:rsidR="00E17C72">
              <w:rPr>
                <w:rFonts w:cstheme="minorHAnsi"/>
              </w:rPr>
              <w:t>for children and young people</w:t>
            </w:r>
          </w:p>
          <w:p w14:paraId="35C2EA75" w14:textId="1E065500" w:rsidR="00555E82" w:rsidRPr="00F81CB0" w:rsidRDefault="00E17C72" w:rsidP="002A4290">
            <w:pPr>
              <w:spacing w:before="100" w:beforeAutospacing="1" w:after="100" w:afterAutospacing="1"/>
              <w:rPr>
                <w:rFonts w:cstheme="minorHAnsi"/>
              </w:rPr>
            </w:pPr>
            <w:r>
              <w:rPr>
                <w:rFonts w:cstheme="minorHAnsi"/>
              </w:rPr>
              <w:t>T</w:t>
            </w:r>
            <w:r w:rsidR="00555E82" w:rsidRPr="00F81CB0">
              <w:rPr>
                <w:rFonts w:cstheme="minorHAnsi"/>
              </w:rPr>
              <w:t>rauma and Stress</w:t>
            </w:r>
            <w:r w:rsidR="004966A4">
              <w:rPr>
                <w:rFonts w:cstheme="minorHAnsi"/>
              </w:rPr>
              <w:t>/</w:t>
            </w:r>
            <w:r w:rsidR="00041B9A">
              <w:rPr>
                <w:rFonts w:cstheme="minorHAnsi"/>
              </w:rPr>
              <w:t>N</w:t>
            </w:r>
            <w:r w:rsidR="004966A4">
              <w:rPr>
                <w:rFonts w:cstheme="minorHAnsi"/>
              </w:rPr>
              <w:t>eurobiology</w:t>
            </w:r>
            <w:r>
              <w:rPr>
                <w:rFonts w:cstheme="minorHAnsi"/>
              </w:rPr>
              <w:t xml:space="preserve"> in adolescents </w:t>
            </w:r>
          </w:p>
          <w:p w14:paraId="11A95702" w14:textId="7DB56DE3" w:rsidR="00555E82" w:rsidRPr="00F81CB0" w:rsidRDefault="00555E82" w:rsidP="002A4290">
            <w:pPr>
              <w:spacing w:before="100" w:beforeAutospacing="1" w:after="100" w:afterAutospacing="1"/>
              <w:rPr>
                <w:rFonts w:cstheme="minorHAnsi"/>
              </w:rPr>
            </w:pPr>
            <w:r w:rsidRPr="00F81CB0">
              <w:rPr>
                <w:rFonts w:cstheme="minorHAnsi"/>
              </w:rPr>
              <w:t xml:space="preserve">Trauma Informed </w:t>
            </w:r>
            <w:r w:rsidR="004966A4" w:rsidRPr="00F81CB0">
              <w:rPr>
                <w:rFonts w:cstheme="minorHAnsi"/>
              </w:rPr>
              <w:t>Approach</w:t>
            </w:r>
            <w:r w:rsidR="004966A4">
              <w:rPr>
                <w:rFonts w:cstheme="minorHAnsi"/>
              </w:rPr>
              <w:t>es</w:t>
            </w:r>
          </w:p>
          <w:p w14:paraId="2B9BAD6E" w14:textId="4450DACA" w:rsidR="00555E82" w:rsidRPr="00F81CB0" w:rsidRDefault="00555E82" w:rsidP="002A4290">
            <w:pPr>
              <w:spacing w:before="100" w:beforeAutospacing="1" w:after="100" w:afterAutospacing="1"/>
              <w:rPr>
                <w:rFonts w:cstheme="minorHAnsi"/>
              </w:rPr>
            </w:pPr>
            <w:r w:rsidRPr="00F81CB0">
              <w:rPr>
                <w:rFonts w:cstheme="minorHAnsi"/>
              </w:rPr>
              <w:t xml:space="preserve">Use </w:t>
            </w:r>
            <w:r w:rsidR="004966A4">
              <w:rPr>
                <w:rFonts w:cstheme="minorHAnsi"/>
              </w:rPr>
              <w:t xml:space="preserve">and impacts </w:t>
            </w:r>
            <w:r w:rsidRPr="00F81CB0">
              <w:rPr>
                <w:rFonts w:cstheme="minorHAnsi"/>
              </w:rPr>
              <w:t>of Appropriate Language</w:t>
            </w:r>
          </w:p>
          <w:p w14:paraId="56FA6D4A" w14:textId="5E6E9661" w:rsidR="004966A4" w:rsidRDefault="004966A4" w:rsidP="004966A4">
            <w:pPr>
              <w:spacing w:before="100" w:beforeAutospacing="1" w:after="100" w:afterAutospacing="1"/>
              <w:rPr>
                <w:rFonts w:cstheme="minorHAnsi"/>
              </w:rPr>
            </w:pPr>
            <w:r>
              <w:rPr>
                <w:rFonts w:cstheme="minorHAnsi"/>
              </w:rPr>
              <w:t>The importance of education</w:t>
            </w:r>
            <w:r w:rsidR="00E17C72">
              <w:rPr>
                <w:rFonts w:cstheme="minorHAnsi"/>
              </w:rPr>
              <w:t>/ how to educate</w:t>
            </w:r>
          </w:p>
          <w:p w14:paraId="342FB959" w14:textId="5DD4BAAD" w:rsidR="00555E82" w:rsidRPr="00F81CB0" w:rsidRDefault="00555E82" w:rsidP="004966A4">
            <w:pPr>
              <w:spacing w:before="100" w:beforeAutospacing="1" w:after="100" w:afterAutospacing="1"/>
              <w:rPr>
                <w:rFonts w:cstheme="minorHAnsi"/>
              </w:rPr>
            </w:pPr>
            <w:r w:rsidRPr="00F81CB0">
              <w:rPr>
                <w:rFonts w:cstheme="minorHAnsi"/>
              </w:rPr>
              <w:t xml:space="preserve">Transitions </w:t>
            </w:r>
            <w:r w:rsidR="005803F5" w:rsidRPr="00F81CB0">
              <w:rPr>
                <w:rFonts w:cstheme="minorHAnsi"/>
              </w:rPr>
              <w:t>and Planning</w:t>
            </w:r>
            <w:r w:rsidR="004966A4">
              <w:rPr>
                <w:rFonts w:cstheme="minorHAnsi"/>
              </w:rPr>
              <w:t xml:space="preserve"> </w:t>
            </w:r>
            <w:r w:rsidR="00E17C72">
              <w:rPr>
                <w:rFonts w:cstheme="minorHAnsi"/>
              </w:rPr>
              <w:t xml:space="preserve">for children and </w:t>
            </w:r>
            <w:r w:rsidR="004966A4">
              <w:rPr>
                <w:rFonts w:cstheme="minorHAnsi"/>
              </w:rPr>
              <w:t>young people</w:t>
            </w:r>
          </w:p>
        </w:tc>
      </w:tr>
      <w:tr w:rsidR="00555E82" w:rsidRPr="00F81CB0" w14:paraId="3FF38C96" w14:textId="77777777" w:rsidTr="009F3A18">
        <w:trPr>
          <w:gridAfter w:val="1"/>
          <w:wAfter w:w="203" w:type="dxa"/>
          <w:trHeight w:val="1077"/>
        </w:trPr>
        <w:tc>
          <w:tcPr>
            <w:tcW w:w="4815" w:type="dxa"/>
          </w:tcPr>
          <w:p w14:paraId="103D57C2" w14:textId="77777777" w:rsidR="00555E82" w:rsidRPr="00473159" w:rsidRDefault="00555E82" w:rsidP="002A4290">
            <w:pPr>
              <w:rPr>
                <w:rFonts w:eastAsia="Calibri" w:cstheme="minorHAnsi"/>
                <w:b/>
                <w:bCs/>
              </w:rPr>
            </w:pPr>
            <w:r w:rsidRPr="00473159">
              <w:rPr>
                <w:rFonts w:eastAsia="Calibri" w:cstheme="minorHAnsi"/>
                <w:b/>
                <w:bCs/>
              </w:rPr>
              <w:t>Missing from Home</w:t>
            </w:r>
          </w:p>
          <w:p w14:paraId="7F11C9D2" w14:textId="77777777" w:rsidR="00E17C72" w:rsidRDefault="00E17C72" w:rsidP="002A4290">
            <w:pPr>
              <w:rPr>
                <w:rFonts w:eastAsia="Calibri" w:cstheme="minorHAnsi"/>
                <w:b/>
                <w:bCs/>
              </w:rPr>
            </w:pPr>
          </w:p>
          <w:p w14:paraId="1C5C6706" w14:textId="62AF2772" w:rsidR="00555E82" w:rsidRPr="00F81CB0" w:rsidRDefault="00555E82" w:rsidP="002A4290">
            <w:pPr>
              <w:rPr>
                <w:rFonts w:eastAsia="Calibri" w:cstheme="minorHAnsi"/>
                <w:b/>
                <w:bCs/>
                <w:color w:val="FF0000"/>
              </w:rPr>
            </w:pPr>
            <w:r w:rsidRPr="00F81CB0">
              <w:rPr>
                <w:rFonts w:eastAsia="Calibri" w:cstheme="minorHAnsi"/>
                <w:b/>
                <w:bCs/>
              </w:rPr>
              <w:t>Audience</w:t>
            </w:r>
            <w:r w:rsidR="00E17C72">
              <w:rPr>
                <w:rFonts w:eastAsia="Calibri" w:cstheme="minorHAnsi"/>
                <w:b/>
                <w:bCs/>
              </w:rPr>
              <w:t xml:space="preserve"> </w:t>
            </w:r>
            <w:r w:rsidRPr="00F81CB0">
              <w:rPr>
                <w:rFonts w:eastAsia="Calibri" w:cstheme="minorHAnsi"/>
                <w:b/>
                <w:bCs/>
              </w:rPr>
              <w:t>-</w:t>
            </w:r>
            <w:r w:rsidR="00E17C72">
              <w:rPr>
                <w:rFonts w:eastAsia="Calibri" w:cstheme="minorHAnsi"/>
                <w:b/>
                <w:bCs/>
              </w:rPr>
              <w:t xml:space="preserve"> </w:t>
            </w:r>
            <w:r w:rsidRPr="00F81CB0">
              <w:rPr>
                <w:rFonts w:eastAsia="Calibri" w:cstheme="minorHAnsi"/>
                <w:b/>
                <w:bCs/>
              </w:rPr>
              <w:t>Foundation</w:t>
            </w:r>
          </w:p>
          <w:p w14:paraId="1FE917D7" w14:textId="77777777" w:rsidR="00555E82" w:rsidRPr="00F81CB0" w:rsidRDefault="00555E82" w:rsidP="002A4290">
            <w:pPr>
              <w:spacing w:before="100" w:beforeAutospacing="1" w:after="100" w:afterAutospacing="1"/>
              <w:rPr>
                <w:rFonts w:cstheme="minorHAnsi"/>
              </w:rPr>
            </w:pPr>
          </w:p>
        </w:tc>
        <w:tc>
          <w:tcPr>
            <w:tcW w:w="1276" w:type="dxa"/>
          </w:tcPr>
          <w:p w14:paraId="4C445198" w14:textId="3B32BDA8" w:rsidR="00555E82" w:rsidRPr="00F81CB0" w:rsidRDefault="00FA64EB" w:rsidP="002A4290">
            <w:pPr>
              <w:rPr>
                <w:rFonts w:eastAsia="Calibri" w:cstheme="minorHAnsi"/>
              </w:rPr>
            </w:pPr>
            <w:r>
              <w:rPr>
                <w:rFonts w:eastAsia="Calibri" w:cstheme="minorHAnsi"/>
              </w:rPr>
              <w:t>Webinar</w:t>
            </w:r>
          </w:p>
          <w:p w14:paraId="73FB20C9" w14:textId="77777777" w:rsidR="00555E82" w:rsidRDefault="00555E82" w:rsidP="002A4290">
            <w:pPr>
              <w:spacing w:before="100" w:beforeAutospacing="1" w:after="100" w:afterAutospacing="1"/>
              <w:rPr>
                <w:rFonts w:eastAsia="Calibri" w:cstheme="minorHAnsi"/>
              </w:rPr>
            </w:pPr>
            <w:r w:rsidRPr="00F81CB0">
              <w:rPr>
                <w:rFonts w:eastAsia="Calibri" w:cstheme="minorHAnsi"/>
              </w:rPr>
              <w:t>Microsoft teams</w:t>
            </w:r>
          </w:p>
          <w:p w14:paraId="0425C6CB" w14:textId="77777777" w:rsidR="00555E82" w:rsidRPr="00F81CB0" w:rsidRDefault="00555E82" w:rsidP="002A4290">
            <w:pPr>
              <w:spacing w:before="100" w:beforeAutospacing="1" w:after="100" w:afterAutospacing="1"/>
              <w:rPr>
                <w:rFonts w:cstheme="minorHAnsi"/>
              </w:rPr>
            </w:pPr>
            <w:r>
              <w:rPr>
                <w:rFonts w:eastAsia="Calibri" w:cstheme="minorHAnsi"/>
              </w:rPr>
              <w:t>I Hour</w:t>
            </w:r>
          </w:p>
        </w:tc>
        <w:tc>
          <w:tcPr>
            <w:tcW w:w="7654" w:type="dxa"/>
          </w:tcPr>
          <w:p w14:paraId="38481251" w14:textId="77777777" w:rsidR="00555E82" w:rsidRPr="00F81CB0" w:rsidRDefault="00555E82" w:rsidP="002A4290">
            <w:pPr>
              <w:spacing w:before="100" w:beforeAutospacing="1" w:after="100" w:afterAutospacing="1"/>
              <w:rPr>
                <w:rFonts w:cstheme="minorHAnsi"/>
              </w:rPr>
            </w:pPr>
            <w:r w:rsidRPr="00F81CB0">
              <w:rPr>
                <w:rFonts w:eastAsia="Calibri" w:cstheme="minorHAnsi"/>
              </w:rPr>
              <w:t>This session will give professionals an overview of the Missing from Home Return Interview Service run by Positive Steps.  It will cover the reasons why children may go missing from home, legislation, national guidance, the aims of the service and the importance of partnership working to manage risk and safeguard.</w:t>
            </w:r>
          </w:p>
        </w:tc>
      </w:tr>
      <w:tr w:rsidR="00555E82" w:rsidRPr="00F81CB0" w14:paraId="441D0CF1" w14:textId="77777777" w:rsidTr="009F3A18">
        <w:trPr>
          <w:gridAfter w:val="1"/>
          <w:wAfter w:w="203" w:type="dxa"/>
          <w:trHeight w:val="1077"/>
        </w:trPr>
        <w:tc>
          <w:tcPr>
            <w:tcW w:w="4815" w:type="dxa"/>
          </w:tcPr>
          <w:p w14:paraId="7D652430" w14:textId="77777777" w:rsidR="00555E82" w:rsidRPr="00473159" w:rsidRDefault="00555E82" w:rsidP="002A4290">
            <w:pPr>
              <w:rPr>
                <w:rFonts w:eastAsia="Calibri" w:cstheme="minorHAnsi"/>
                <w:b/>
                <w:bCs/>
              </w:rPr>
            </w:pPr>
            <w:r w:rsidRPr="00473159">
              <w:rPr>
                <w:rFonts w:eastAsia="Calibri" w:cstheme="minorHAnsi"/>
                <w:b/>
                <w:bCs/>
              </w:rPr>
              <w:t>Child Trafficking and the Role of the Independent Trafficking Guardian Service</w:t>
            </w:r>
          </w:p>
          <w:p w14:paraId="5E6BCA36" w14:textId="77777777" w:rsidR="00E17C72" w:rsidRDefault="00E17C72" w:rsidP="002A4290">
            <w:pPr>
              <w:rPr>
                <w:rFonts w:eastAsia="Calibri" w:cstheme="minorHAnsi"/>
                <w:b/>
                <w:bCs/>
              </w:rPr>
            </w:pPr>
          </w:p>
          <w:p w14:paraId="2C2A5381" w14:textId="748919BA" w:rsidR="00555E82" w:rsidRPr="00473159" w:rsidRDefault="00555E82" w:rsidP="002A4290">
            <w:pPr>
              <w:rPr>
                <w:rFonts w:eastAsia="Calibri" w:cstheme="minorHAnsi"/>
                <w:b/>
                <w:bCs/>
              </w:rPr>
            </w:pPr>
            <w:r w:rsidRPr="00473159">
              <w:rPr>
                <w:rFonts w:eastAsia="Calibri" w:cstheme="minorHAnsi"/>
                <w:b/>
                <w:bCs/>
              </w:rPr>
              <w:t>Audience</w:t>
            </w:r>
            <w:r w:rsidR="00E17C72">
              <w:rPr>
                <w:rFonts w:eastAsia="Calibri" w:cstheme="minorHAnsi"/>
                <w:b/>
                <w:bCs/>
              </w:rPr>
              <w:t xml:space="preserve"> </w:t>
            </w:r>
            <w:r w:rsidRPr="00473159">
              <w:rPr>
                <w:rFonts w:eastAsia="Calibri" w:cstheme="minorHAnsi"/>
                <w:b/>
                <w:bCs/>
              </w:rPr>
              <w:t>- Core</w:t>
            </w:r>
            <w:r w:rsidR="009F3A18">
              <w:rPr>
                <w:rFonts w:eastAsia="Calibri" w:cstheme="minorHAnsi"/>
                <w:b/>
                <w:bCs/>
              </w:rPr>
              <w:t xml:space="preserve"> 1 &amp; 2</w:t>
            </w:r>
          </w:p>
        </w:tc>
        <w:tc>
          <w:tcPr>
            <w:tcW w:w="1276" w:type="dxa"/>
          </w:tcPr>
          <w:p w14:paraId="6ED23E52" w14:textId="77777777" w:rsidR="00555E82" w:rsidRPr="00F81CB0" w:rsidRDefault="00555E82" w:rsidP="002A4290">
            <w:pPr>
              <w:rPr>
                <w:rFonts w:eastAsia="Calibri" w:cstheme="minorHAnsi"/>
              </w:rPr>
            </w:pPr>
          </w:p>
          <w:p w14:paraId="12ADD46A" w14:textId="77777777" w:rsidR="00555E82" w:rsidRDefault="00555E82" w:rsidP="002A4290">
            <w:pPr>
              <w:rPr>
                <w:rFonts w:eastAsia="Calibri" w:cstheme="minorHAnsi"/>
              </w:rPr>
            </w:pPr>
            <w:r w:rsidRPr="00F81CB0">
              <w:rPr>
                <w:rFonts w:eastAsia="Calibri" w:cstheme="minorHAnsi"/>
              </w:rPr>
              <w:t>Microsoft Teams</w:t>
            </w:r>
          </w:p>
          <w:p w14:paraId="646624D8" w14:textId="77777777" w:rsidR="00FA64EB" w:rsidRDefault="00FA64EB" w:rsidP="002A4290">
            <w:pPr>
              <w:rPr>
                <w:rFonts w:eastAsia="Calibri" w:cstheme="minorHAnsi"/>
              </w:rPr>
            </w:pPr>
          </w:p>
          <w:p w14:paraId="31BAAD77" w14:textId="0B26A3CA" w:rsidR="00555E82" w:rsidRPr="00F81CB0" w:rsidRDefault="00555E82" w:rsidP="002A4290">
            <w:pPr>
              <w:rPr>
                <w:rFonts w:eastAsia="Calibri" w:cstheme="minorHAnsi"/>
              </w:rPr>
            </w:pPr>
            <w:r>
              <w:rPr>
                <w:rFonts w:eastAsia="Calibri" w:cstheme="minorHAnsi"/>
              </w:rPr>
              <w:t>2 hours</w:t>
            </w:r>
          </w:p>
        </w:tc>
        <w:tc>
          <w:tcPr>
            <w:tcW w:w="7654" w:type="dxa"/>
          </w:tcPr>
          <w:p w14:paraId="619D8898" w14:textId="77777777" w:rsidR="00555E82" w:rsidRPr="00F81CB0" w:rsidRDefault="00555E82" w:rsidP="00555E82">
            <w:pPr>
              <w:pStyle w:val="ListParagraph"/>
              <w:numPr>
                <w:ilvl w:val="0"/>
                <w:numId w:val="1"/>
              </w:numPr>
              <w:ind w:left="312" w:hanging="284"/>
              <w:rPr>
                <w:rFonts w:eastAsia="+mn-ea" w:cstheme="minorHAnsi"/>
                <w:kern w:val="24"/>
                <w:lang w:eastAsia="en-GB"/>
              </w:rPr>
            </w:pPr>
            <w:r w:rsidRPr="00F81CB0">
              <w:rPr>
                <w:rFonts w:eastAsia="+mn-ea" w:cstheme="minorHAnsi"/>
                <w:kern w:val="24"/>
                <w:lang w:eastAsia="en-GB"/>
              </w:rPr>
              <w:t>This session will be delivered by Oldham Youth Justice Service and Barnardo’s and will cover:</w:t>
            </w:r>
          </w:p>
          <w:p w14:paraId="738E0B4E" w14:textId="77777777" w:rsidR="00555E82" w:rsidRPr="00F81CB0" w:rsidRDefault="00555E82" w:rsidP="00555E82">
            <w:pPr>
              <w:pStyle w:val="ListParagraph"/>
              <w:numPr>
                <w:ilvl w:val="0"/>
                <w:numId w:val="1"/>
              </w:numPr>
              <w:ind w:left="312" w:hanging="284"/>
              <w:rPr>
                <w:rFonts w:eastAsia="+mn-ea" w:cstheme="minorHAnsi"/>
                <w:kern w:val="24"/>
                <w:lang w:eastAsia="en-GB"/>
              </w:rPr>
            </w:pPr>
            <w:r w:rsidRPr="00F81CB0">
              <w:rPr>
                <w:rFonts w:eastAsia="+mn-ea" w:cstheme="minorHAnsi"/>
                <w:kern w:val="24"/>
                <w:lang w:eastAsia="en-GB"/>
              </w:rPr>
              <w:t>The service, how to work with us and how we can help.</w:t>
            </w:r>
          </w:p>
          <w:p w14:paraId="2B54923E" w14:textId="77777777" w:rsidR="00555E82" w:rsidRPr="00F81CB0" w:rsidRDefault="00555E82" w:rsidP="00555E82">
            <w:pPr>
              <w:pStyle w:val="ListParagraph"/>
              <w:numPr>
                <w:ilvl w:val="0"/>
                <w:numId w:val="1"/>
              </w:numPr>
              <w:ind w:left="312" w:hanging="284"/>
              <w:rPr>
                <w:rFonts w:eastAsia="+mn-ea" w:cstheme="minorHAnsi"/>
                <w:kern w:val="24"/>
                <w:lang w:eastAsia="en-GB"/>
              </w:rPr>
            </w:pPr>
            <w:r w:rsidRPr="00F81CB0">
              <w:rPr>
                <w:rFonts w:eastAsia="+mn-ea" w:cstheme="minorHAnsi"/>
                <w:kern w:val="24"/>
                <w:lang w:eastAsia="en-GB"/>
              </w:rPr>
              <w:t>What child trafficking is and types of exploitation/trafficking.</w:t>
            </w:r>
          </w:p>
          <w:p w14:paraId="667B255E" w14:textId="77777777" w:rsidR="00555E82" w:rsidRPr="00F81CB0" w:rsidRDefault="00555E82" w:rsidP="00555E82">
            <w:pPr>
              <w:pStyle w:val="ListParagraph"/>
              <w:numPr>
                <w:ilvl w:val="0"/>
                <w:numId w:val="1"/>
              </w:numPr>
              <w:ind w:left="312" w:hanging="284"/>
              <w:rPr>
                <w:rFonts w:eastAsia="+mn-ea" w:cstheme="minorHAnsi"/>
                <w:kern w:val="24"/>
                <w:lang w:eastAsia="en-GB"/>
              </w:rPr>
            </w:pPr>
            <w:r w:rsidRPr="00F81CB0">
              <w:rPr>
                <w:rFonts w:eastAsia="+mn-ea" w:cstheme="minorHAnsi"/>
                <w:kern w:val="24"/>
                <w:lang w:eastAsia="en-GB"/>
              </w:rPr>
              <w:t>Why children are exploited and the impact on them plus the signs/indicators.</w:t>
            </w:r>
          </w:p>
          <w:p w14:paraId="1D5586FB" w14:textId="77777777" w:rsidR="00555E82" w:rsidRPr="00F81CB0" w:rsidRDefault="00555E82" w:rsidP="00555E82">
            <w:pPr>
              <w:pStyle w:val="ListParagraph"/>
              <w:numPr>
                <w:ilvl w:val="0"/>
                <w:numId w:val="1"/>
              </w:numPr>
              <w:ind w:left="312" w:hanging="284"/>
              <w:rPr>
                <w:rFonts w:eastAsia="+mn-ea" w:cstheme="minorHAnsi"/>
                <w:kern w:val="24"/>
                <w:lang w:eastAsia="en-GB"/>
              </w:rPr>
            </w:pPr>
            <w:r w:rsidRPr="00F81CB0">
              <w:rPr>
                <w:rFonts w:eastAsia="+mn-ea" w:cstheme="minorHAnsi"/>
                <w:kern w:val="24"/>
                <w:lang w:eastAsia="en-GB"/>
              </w:rPr>
              <w:t>Striking the balance – exploitation versus criminality.</w:t>
            </w:r>
          </w:p>
          <w:p w14:paraId="7527FA03" w14:textId="77777777" w:rsidR="00555E82" w:rsidRPr="00F81CB0" w:rsidRDefault="00555E82" w:rsidP="00555E82">
            <w:pPr>
              <w:pStyle w:val="ListParagraph"/>
              <w:numPr>
                <w:ilvl w:val="0"/>
                <w:numId w:val="1"/>
              </w:numPr>
              <w:ind w:left="312" w:hanging="284"/>
              <w:rPr>
                <w:rFonts w:eastAsia="+mn-ea" w:cstheme="minorHAnsi"/>
                <w:kern w:val="24"/>
                <w:lang w:eastAsia="en-GB"/>
              </w:rPr>
            </w:pPr>
            <w:r w:rsidRPr="00F81CB0">
              <w:rPr>
                <w:rFonts w:eastAsia="+mn-ea" w:cstheme="minorHAnsi"/>
                <w:kern w:val="24"/>
                <w:lang w:eastAsia="en-GB"/>
              </w:rPr>
              <w:t>NRM (national referral mechanism) process – how and why to refer.</w:t>
            </w:r>
          </w:p>
          <w:p w14:paraId="19AF3316" w14:textId="77777777" w:rsidR="00555E82" w:rsidRPr="00F81CB0" w:rsidRDefault="00555E82" w:rsidP="00555E82">
            <w:pPr>
              <w:pStyle w:val="ListParagraph"/>
              <w:numPr>
                <w:ilvl w:val="0"/>
                <w:numId w:val="1"/>
              </w:numPr>
              <w:ind w:left="312" w:hanging="284"/>
              <w:rPr>
                <w:rFonts w:eastAsia="+mn-ea" w:cstheme="minorHAnsi"/>
                <w:kern w:val="24"/>
                <w:lang w:eastAsia="en-GB"/>
              </w:rPr>
            </w:pPr>
            <w:r w:rsidRPr="00F81CB0">
              <w:rPr>
                <w:rFonts w:eastAsia="+mn-ea" w:cstheme="minorHAnsi"/>
                <w:kern w:val="24"/>
                <w:lang w:eastAsia="en-GB"/>
              </w:rPr>
              <w:t>Section 45 defence.</w:t>
            </w:r>
          </w:p>
          <w:p w14:paraId="71479F57" w14:textId="77777777" w:rsidR="00555E82" w:rsidRPr="00F81CB0" w:rsidRDefault="00555E82" w:rsidP="00555E82">
            <w:pPr>
              <w:pStyle w:val="ListParagraph"/>
              <w:numPr>
                <w:ilvl w:val="0"/>
                <w:numId w:val="1"/>
              </w:numPr>
              <w:ind w:left="312" w:hanging="284"/>
              <w:rPr>
                <w:rFonts w:eastAsia="+mn-ea" w:cstheme="minorHAnsi"/>
                <w:kern w:val="24"/>
                <w:lang w:eastAsia="en-GB"/>
              </w:rPr>
            </w:pPr>
            <w:r w:rsidRPr="00F81CB0">
              <w:rPr>
                <w:rFonts w:eastAsia="+mn-ea" w:cstheme="minorHAnsi"/>
                <w:kern w:val="24"/>
                <w:lang w:eastAsia="en-GB"/>
              </w:rPr>
              <w:t>National context/themes, support.</w:t>
            </w:r>
          </w:p>
          <w:p w14:paraId="63B8D054" w14:textId="77777777" w:rsidR="00555E82" w:rsidRPr="00F81CB0" w:rsidRDefault="00555E82" w:rsidP="002A4290">
            <w:pPr>
              <w:spacing w:before="100" w:beforeAutospacing="1" w:after="100" w:afterAutospacing="1"/>
              <w:rPr>
                <w:rFonts w:eastAsia="Calibri" w:cstheme="minorHAnsi"/>
              </w:rPr>
            </w:pPr>
            <w:r w:rsidRPr="00F81CB0">
              <w:rPr>
                <w:rFonts w:eastAsia="+mn-ea" w:cstheme="minorHAnsi"/>
                <w:kern w:val="24"/>
                <w:lang w:eastAsia="en-GB"/>
              </w:rPr>
              <w:t>Police role in fighting trafficking and the importance of language.</w:t>
            </w:r>
          </w:p>
        </w:tc>
      </w:tr>
      <w:tr w:rsidR="00555E82" w:rsidRPr="00F81CB0" w14:paraId="146E0589" w14:textId="77777777" w:rsidTr="005803F5">
        <w:trPr>
          <w:gridAfter w:val="1"/>
          <w:wAfter w:w="203" w:type="dxa"/>
          <w:trHeight w:val="1124"/>
        </w:trPr>
        <w:tc>
          <w:tcPr>
            <w:tcW w:w="4815" w:type="dxa"/>
          </w:tcPr>
          <w:p w14:paraId="29865F01" w14:textId="77777777" w:rsidR="00555E82" w:rsidRPr="00473159" w:rsidRDefault="00555E82" w:rsidP="002A4290">
            <w:pPr>
              <w:spacing w:before="100" w:beforeAutospacing="1" w:after="100" w:afterAutospacing="1"/>
              <w:rPr>
                <w:rFonts w:cstheme="minorHAnsi"/>
                <w:b/>
                <w:bCs/>
              </w:rPr>
            </w:pPr>
            <w:r w:rsidRPr="00473159">
              <w:rPr>
                <w:rFonts w:cstheme="minorHAnsi"/>
                <w:b/>
                <w:bCs/>
              </w:rPr>
              <w:t xml:space="preserve">Contextual Safeguarding </w:t>
            </w:r>
          </w:p>
          <w:p w14:paraId="22F780F5" w14:textId="4AACE231" w:rsidR="00555E82" w:rsidRPr="00F81CB0" w:rsidRDefault="00555E82" w:rsidP="002A4290">
            <w:pPr>
              <w:spacing w:before="100" w:beforeAutospacing="1" w:after="100" w:afterAutospacing="1"/>
              <w:rPr>
                <w:rFonts w:cstheme="minorHAnsi"/>
                <w:b/>
                <w:bCs/>
              </w:rPr>
            </w:pPr>
            <w:r w:rsidRPr="00473159">
              <w:rPr>
                <w:rFonts w:cstheme="minorHAnsi"/>
                <w:b/>
                <w:bCs/>
              </w:rPr>
              <w:t xml:space="preserve"> Audience</w:t>
            </w:r>
            <w:r w:rsidR="00E17C72">
              <w:rPr>
                <w:rFonts w:cstheme="minorHAnsi"/>
                <w:b/>
                <w:bCs/>
              </w:rPr>
              <w:t xml:space="preserve"> </w:t>
            </w:r>
            <w:r w:rsidRPr="00473159">
              <w:rPr>
                <w:rFonts w:cstheme="minorHAnsi"/>
                <w:b/>
                <w:bCs/>
              </w:rPr>
              <w:t>- Foundation Level</w:t>
            </w:r>
          </w:p>
        </w:tc>
        <w:tc>
          <w:tcPr>
            <w:tcW w:w="1276" w:type="dxa"/>
          </w:tcPr>
          <w:p w14:paraId="2BEB686E" w14:textId="77777777" w:rsidR="00555E82" w:rsidRDefault="00FA64EB" w:rsidP="002A4290">
            <w:pPr>
              <w:spacing w:before="100" w:beforeAutospacing="1" w:after="100" w:afterAutospacing="1"/>
              <w:rPr>
                <w:rFonts w:cstheme="minorHAnsi"/>
              </w:rPr>
            </w:pPr>
            <w:r>
              <w:rPr>
                <w:rFonts w:cstheme="minorHAnsi"/>
              </w:rPr>
              <w:t>F</w:t>
            </w:r>
            <w:r w:rsidR="00555E82">
              <w:rPr>
                <w:rFonts w:cstheme="minorHAnsi"/>
              </w:rPr>
              <w:t>ace to face</w:t>
            </w:r>
          </w:p>
          <w:p w14:paraId="0C1AF772" w14:textId="1C42797D" w:rsidR="00FA64EB" w:rsidRPr="00F81CB0" w:rsidRDefault="00FA64EB" w:rsidP="002A4290">
            <w:pPr>
              <w:spacing w:before="100" w:beforeAutospacing="1" w:after="100" w:afterAutospacing="1"/>
              <w:rPr>
                <w:rFonts w:cstheme="minorHAnsi"/>
              </w:rPr>
            </w:pPr>
            <w:r>
              <w:rPr>
                <w:rFonts w:cstheme="minorHAnsi"/>
              </w:rPr>
              <w:t>2 Hours</w:t>
            </w:r>
          </w:p>
        </w:tc>
        <w:tc>
          <w:tcPr>
            <w:tcW w:w="7654" w:type="dxa"/>
          </w:tcPr>
          <w:p w14:paraId="01938BFC" w14:textId="77777777" w:rsidR="00555E82" w:rsidRPr="00F81CB0" w:rsidRDefault="00555E82" w:rsidP="002A4290">
            <w:pPr>
              <w:spacing w:before="100" w:beforeAutospacing="1" w:after="100" w:afterAutospacing="1"/>
              <w:rPr>
                <w:rFonts w:cstheme="minorHAnsi"/>
              </w:rPr>
            </w:pPr>
            <w:r w:rsidRPr="00F81CB0">
              <w:rPr>
                <w:rFonts w:cstheme="minorHAnsi"/>
              </w:rPr>
              <w:t>This session will look at the concept of contextual safeguarding/extra familial abuse, introducing the complex safeguarding network and Oldham’ response and processes</w:t>
            </w:r>
          </w:p>
        </w:tc>
      </w:tr>
      <w:tr w:rsidR="005803F5" w14:paraId="41E088EE" w14:textId="77777777" w:rsidTr="005803F5">
        <w:tc>
          <w:tcPr>
            <w:tcW w:w="4815" w:type="dxa"/>
          </w:tcPr>
          <w:p w14:paraId="5EBBCC8C" w14:textId="77777777" w:rsidR="005803F5" w:rsidRPr="00E17C72" w:rsidRDefault="00FA64EB">
            <w:pPr>
              <w:rPr>
                <w:b/>
                <w:bCs/>
              </w:rPr>
            </w:pPr>
            <w:r w:rsidRPr="00E17C72">
              <w:rPr>
                <w:b/>
                <w:bCs/>
              </w:rPr>
              <w:t>Youth Justice, Turnaround, Prevention and Diversion</w:t>
            </w:r>
          </w:p>
          <w:p w14:paraId="1B7A6DEA" w14:textId="77777777" w:rsidR="00E17C72" w:rsidRDefault="00E17C72">
            <w:pPr>
              <w:rPr>
                <w:b/>
                <w:bCs/>
              </w:rPr>
            </w:pPr>
          </w:p>
          <w:p w14:paraId="03E892DE" w14:textId="656E41BF" w:rsidR="00FA64EB" w:rsidRDefault="00FA64EB">
            <w:r w:rsidRPr="00E17C72">
              <w:rPr>
                <w:b/>
                <w:bCs/>
              </w:rPr>
              <w:t>Audience</w:t>
            </w:r>
            <w:r w:rsidR="00E17C72">
              <w:rPr>
                <w:b/>
                <w:bCs/>
              </w:rPr>
              <w:t xml:space="preserve"> </w:t>
            </w:r>
            <w:r w:rsidRPr="00E17C72">
              <w:rPr>
                <w:b/>
                <w:bCs/>
              </w:rPr>
              <w:t>- Foundation</w:t>
            </w:r>
          </w:p>
        </w:tc>
        <w:tc>
          <w:tcPr>
            <w:tcW w:w="1276" w:type="dxa"/>
          </w:tcPr>
          <w:p w14:paraId="0F89D7F7" w14:textId="3C79D5FB" w:rsidR="00FA64EB" w:rsidRDefault="00FA64EB">
            <w:r>
              <w:t>Webinar</w:t>
            </w:r>
          </w:p>
          <w:p w14:paraId="21D7474F" w14:textId="77777777" w:rsidR="00FA64EB" w:rsidRDefault="00FA64EB"/>
          <w:p w14:paraId="2B054B88" w14:textId="09191214" w:rsidR="00FA64EB" w:rsidRDefault="00FA64EB">
            <w:r>
              <w:t>Microsoft Teams</w:t>
            </w:r>
          </w:p>
          <w:p w14:paraId="1435D6A4" w14:textId="77777777" w:rsidR="00FA64EB" w:rsidRDefault="00FA64EB"/>
          <w:p w14:paraId="0C56F10B" w14:textId="5AD76476" w:rsidR="00FA64EB" w:rsidRDefault="00FA64EB">
            <w:r>
              <w:t>I hour</w:t>
            </w:r>
          </w:p>
        </w:tc>
        <w:tc>
          <w:tcPr>
            <w:tcW w:w="7857" w:type="dxa"/>
            <w:gridSpan w:val="2"/>
          </w:tcPr>
          <w:p w14:paraId="7E69F4C8" w14:textId="50B50B8D" w:rsidR="005803F5" w:rsidRDefault="00FA64EB">
            <w:r>
              <w:t>This webinar aims to act as a refresher on the Prevention offer that the Youth Justice Service in Oldham delivers to those aged 10-18. We also aim to communicate how we are taking child first principles forward and how these fit in with our strategic aims, which are where possible to support children and divert them away from prosecution.</w:t>
            </w:r>
          </w:p>
        </w:tc>
      </w:tr>
    </w:tbl>
    <w:p w14:paraId="6B00E0DE" w14:textId="77777777" w:rsidR="00FB010D" w:rsidRDefault="00FB010D"/>
    <w:sectPr w:rsidR="00FB010D" w:rsidSect="00555E8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D1D4B"/>
    <w:multiLevelType w:val="hybridMultilevel"/>
    <w:tmpl w:val="1398F8C6"/>
    <w:lvl w:ilvl="0" w:tplc="6610F8AE">
      <w:start w:val="1"/>
      <w:numFmt w:val="bullet"/>
      <w:lvlText w:val="•"/>
      <w:lvlJc w:val="left"/>
      <w:pPr>
        <w:tabs>
          <w:tab w:val="num" w:pos="720"/>
        </w:tabs>
        <w:ind w:left="720" w:hanging="360"/>
      </w:pPr>
      <w:rPr>
        <w:rFonts w:ascii="Times New Roman" w:hAnsi="Times New Roman" w:hint="default"/>
      </w:rPr>
    </w:lvl>
    <w:lvl w:ilvl="1" w:tplc="F350079A" w:tentative="1">
      <w:start w:val="1"/>
      <w:numFmt w:val="bullet"/>
      <w:lvlText w:val="•"/>
      <w:lvlJc w:val="left"/>
      <w:pPr>
        <w:tabs>
          <w:tab w:val="num" w:pos="1440"/>
        </w:tabs>
        <w:ind w:left="1440" w:hanging="360"/>
      </w:pPr>
      <w:rPr>
        <w:rFonts w:ascii="Times New Roman" w:hAnsi="Times New Roman" w:hint="default"/>
      </w:rPr>
    </w:lvl>
    <w:lvl w:ilvl="2" w:tplc="0764E87E" w:tentative="1">
      <w:start w:val="1"/>
      <w:numFmt w:val="bullet"/>
      <w:lvlText w:val="•"/>
      <w:lvlJc w:val="left"/>
      <w:pPr>
        <w:tabs>
          <w:tab w:val="num" w:pos="2160"/>
        </w:tabs>
        <w:ind w:left="2160" w:hanging="360"/>
      </w:pPr>
      <w:rPr>
        <w:rFonts w:ascii="Times New Roman" w:hAnsi="Times New Roman" w:hint="default"/>
      </w:rPr>
    </w:lvl>
    <w:lvl w:ilvl="3" w:tplc="C5EC8530" w:tentative="1">
      <w:start w:val="1"/>
      <w:numFmt w:val="bullet"/>
      <w:lvlText w:val="•"/>
      <w:lvlJc w:val="left"/>
      <w:pPr>
        <w:tabs>
          <w:tab w:val="num" w:pos="2880"/>
        </w:tabs>
        <w:ind w:left="2880" w:hanging="360"/>
      </w:pPr>
      <w:rPr>
        <w:rFonts w:ascii="Times New Roman" w:hAnsi="Times New Roman" w:hint="default"/>
      </w:rPr>
    </w:lvl>
    <w:lvl w:ilvl="4" w:tplc="18086ED4" w:tentative="1">
      <w:start w:val="1"/>
      <w:numFmt w:val="bullet"/>
      <w:lvlText w:val="•"/>
      <w:lvlJc w:val="left"/>
      <w:pPr>
        <w:tabs>
          <w:tab w:val="num" w:pos="3600"/>
        </w:tabs>
        <w:ind w:left="3600" w:hanging="360"/>
      </w:pPr>
      <w:rPr>
        <w:rFonts w:ascii="Times New Roman" w:hAnsi="Times New Roman" w:hint="default"/>
      </w:rPr>
    </w:lvl>
    <w:lvl w:ilvl="5" w:tplc="35E4C2A2" w:tentative="1">
      <w:start w:val="1"/>
      <w:numFmt w:val="bullet"/>
      <w:lvlText w:val="•"/>
      <w:lvlJc w:val="left"/>
      <w:pPr>
        <w:tabs>
          <w:tab w:val="num" w:pos="4320"/>
        </w:tabs>
        <w:ind w:left="4320" w:hanging="360"/>
      </w:pPr>
      <w:rPr>
        <w:rFonts w:ascii="Times New Roman" w:hAnsi="Times New Roman" w:hint="default"/>
      </w:rPr>
    </w:lvl>
    <w:lvl w:ilvl="6" w:tplc="6F0A3A38" w:tentative="1">
      <w:start w:val="1"/>
      <w:numFmt w:val="bullet"/>
      <w:lvlText w:val="•"/>
      <w:lvlJc w:val="left"/>
      <w:pPr>
        <w:tabs>
          <w:tab w:val="num" w:pos="5040"/>
        </w:tabs>
        <w:ind w:left="5040" w:hanging="360"/>
      </w:pPr>
      <w:rPr>
        <w:rFonts w:ascii="Times New Roman" w:hAnsi="Times New Roman" w:hint="default"/>
      </w:rPr>
    </w:lvl>
    <w:lvl w:ilvl="7" w:tplc="DA84AC7E" w:tentative="1">
      <w:start w:val="1"/>
      <w:numFmt w:val="bullet"/>
      <w:lvlText w:val="•"/>
      <w:lvlJc w:val="left"/>
      <w:pPr>
        <w:tabs>
          <w:tab w:val="num" w:pos="5760"/>
        </w:tabs>
        <w:ind w:left="5760" w:hanging="360"/>
      </w:pPr>
      <w:rPr>
        <w:rFonts w:ascii="Times New Roman" w:hAnsi="Times New Roman" w:hint="default"/>
      </w:rPr>
    </w:lvl>
    <w:lvl w:ilvl="8" w:tplc="CCF6767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73D46CDE"/>
    <w:multiLevelType w:val="hybridMultilevel"/>
    <w:tmpl w:val="C5AE3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007278"/>
    <w:multiLevelType w:val="hybridMultilevel"/>
    <w:tmpl w:val="642AFA32"/>
    <w:lvl w:ilvl="0" w:tplc="D9B48472">
      <w:start w:val="1"/>
      <w:numFmt w:val="bullet"/>
      <w:lvlText w:val="•"/>
      <w:lvlJc w:val="left"/>
      <w:pPr>
        <w:tabs>
          <w:tab w:val="num" w:pos="720"/>
        </w:tabs>
        <w:ind w:left="720" w:hanging="360"/>
      </w:pPr>
      <w:rPr>
        <w:rFonts w:ascii="Times New Roman" w:hAnsi="Times New Roman" w:hint="default"/>
      </w:rPr>
    </w:lvl>
    <w:lvl w:ilvl="1" w:tplc="7786AC48" w:tentative="1">
      <w:start w:val="1"/>
      <w:numFmt w:val="bullet"/>
      <w:lvlText w:val="•"/>
      <w:lvlJc w:val="left"/>
      <w:pPr>
        <w:tabs>
          <w:tab w:val="num" w:pos="1440"/>
        </w:tabs>
        <w:ind w:left="1440" w:hanging="360"/>
      </w:pPr>
      <w:rPr>
        <w:rFonts w:ascii="Times New Roman" w:hAnsi="Times New Roman" w:hint="default"/>
      </w:rPr>
    </w:lvl>
    <w:lvl w:ilvl="2" w:tplc="CF9662D0" w:tentative="1">
      <w:start w:val="1"/>
      <w:numFmt w:val="bullet"/>
      <w:lvlText w:val="•"/>
      <w:lvlJc w:val="left"/>
      <w:pPr>
        <w:tabs>
          <w:tab w:val="num" w:pos="2160"/>
        </w:tabs>
        <w:ind w:left="2160" w:hanging="360"/>
      </w:pPr>
      <w:rPr>
        <w:rFonts w:ascii="Times New Roman" w:hAnsi="Times New Roman" w:hint="default"/>
      </w:rPr>
    </w:lvl>
    <w:lvl w:ilvl="3" w:tplc="4B0EE21E" w:tentative="1">
      <w:start w:val="1"/>
      <w:numFmt w:val="bullet"/>
      <w:lvlText w:val="•"/>
      <w:lvlJc w:val="left"/>
      <w:pPr>
        <w:tabs>
          <w:tab w:val="num" w:pos="2880"/>
        </w:tabs>
        <w:ind w:left="2880" w:hanging="360"/>
      </w:pPr>
      <w:rPr>
        <w:rFonts w:ascii="Times New Roman" w:hAnsi="Times New Roman" w:hint="default"/>
      </w:rPr>
    </w:lvl>
    <w:lvl w:ilvl="4" w:tplc="4E6015B4" w:tentative="1">
      <w:start w:val="1"/>
      <w:numFmt w:val="bullet"/>
      <w:lvlText w:val="•"/>
      <w:lvlJc w:val="left"/>
      <w:pPr>
        <w:tabs>
          <w:tab w:val="num" w:pos="3600"/>
        </w:tabs>
        <w:ind w:left="3600" w:hanging="360"/>
      </w:pPr>
      <w:rPr>
        <w:rFonts w:ascii="Times New Roman" w:hAnsi="Times New Roman" w:hint="default"/>
      </w:rPr>
    </w:lvl>
    <w:lvl w:ilvl="5" w:tplc="EC70059E" w:tentative="1">
      <w:start w:val="1"/>
      <w:numFmt w:val="bullet"/>
      <w:lvlText w:val="•"/>
      <w:lvlJc w:val="left"/>
      <w:pPr>
        <w:tabs>
          <w:tab w:val="num" w:pos="4320"/>
        </w:tabs>
        <w:ind w:left="4320" w:hanging="360"/>
      </w:pPr>
      <w:rPr>
        <w:rFonts w:ascii="Times New Roman" w:hAnsi="Times New Roman" w:hint="default"/>
      </w:rPr>
    </w:lvl>
    <w:lvl w:ilvl="6" w:tplc="D4A8F1B8" w:tentative="1">
      <w:start w:val="1"/>
      <w:numFmt w:val="bullet"/>
      <w:lvlText w:val="•"/>
      <w:lvlJc w:val="left"/>
      <w:pPr>
        <w:tabs>
          <w:tab w:val="num" w:pos="5040"/>
        </w:tabs>
        <w:ind w:left="5040" w:hanging="360"/>
      </w:pPr>
      <w:rPr>
        <w:rFonts w:ascii="Times New Roman" w:hAnsi="Times New Roman" w:hint="default"/>
      </w:rPr>
    </w:lvl>
    <w:lvl w:ilvl="7" w:tplc="B98E31BA" w:tentative="1">
      <w:start w:val="1"/>
      <w:numFmt w:val="bullet"/>
      <w:lvlText w:val="•"/>
      <w:lvlJc w:val="left"/>
      <w:pPr>
        <w:tabs>
          <w:tab w:val="num" w:pos="5760"/>
        </w:tabs>
        <w:ind w:left="5760" w:hanging="360"/>
      </w:pPr>
      <w:rPr>
        <w:rFonts w:ascii="Times New Roman" w:hAnsi="Times New Roman" w:hint="default"/>
      </w:rPr>
    </w:lvl>
    <w:lvl w:ilvl="8" w:tplc="179632E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FBA51F2"/>
    <w:multiLevelType w:val="hybridMultilevel"/>
    <w:tmpl w:val="11041420"/>
    <w:lvl w:ilvl="0" w:tplc="8952AF78">
      <w:start w:val="1"/>
      <w:numFmt w:val="bullet"/>
      <w:lvlText w:val="•"/>
      <w:lvlJc w:val="left"/>
      <w:pPr>
        <w:tabs>
          <w:tab w:val="num" w:pos="720"/>
        </w:tabs>
        <w:ind w:left="720" w:hanging="360"/>
      </w:pPr>
      <w:rPr>
        <w:rFonts w:ascii="Times New Roman" w:hAnsi="Times New Roman" w:hint="default"/>
      </w:rPr>
    </w:lvl>
    <w:lvl w:ilvl="1" w:tplc="4390763E" w:tentative="1">
      <w:start w:val="1"/>
      <w:numFmt w:val="bullet"/>
      <w:lvlText w:val="•"/>
      <w:lvlJc w:val="left"/>
      <w:pPr>
        <w:tabs>
          <w:tab w:val="num" w:pos="1440"/>
        </w:tabs>
        <w:ind w:left="1440" w:hanging="360"/>
      </w:pPr>
      <w:rPr>
        <w:rFonts w:ascii="Times New Roman" w:hAnsi="Times New Roman" w:hint="default"/>
      </w:rPr>
    </w:lvl>
    <w:lvl w:ilvl="2" w:tplc="996EBE90" w:tentative="1">
      <w:start w:val="1"/>
      <w:numFmt w:val="bullet"/>
      <w:lvlText w:val="•"/>
      <w:lvlJc w:val="left"/>
      <w:pPr>
        <w:tabs>
          <w:tab w:val="num" w:pos="2160"/>
        </w:tabs>
        <w:ind w:left="2160" w:hanging="360"/>
      </w:pPr>
      <w:rPr>
        <w:rFonts w:ascii="Times New Roman" w:hAnsi="Times New Roman" w:hint="default"/>
      </w:rPr>
    </w:lvl>
    <w:lvl w:ilvl="3" w:tplc="4BC2CBC2" w:tentative="1">
      <w:start w:val="1"/>
      <w:numFmt w:val="bullet"/>
      <w:lvlText w:val="•"/>
      <w:lvlJc w:val="left"/>
      <w:pPr>
        <w:tabs>
          <w:tab w:val="num" w:pos="2880"/>
        </w:tabs>
        <w:ind w:left="2880" w:hanging="360"/>
      </w:pPr>
      <w:rPr>
        <w:rFonts w:ascii="Times New Roman" w:hAnsi="Times New Roman" w:hint="default"/>
      </w:rPr>
    </w:lvl>
    <w:lvl w:ilvl="4" w:tplc="59488642" w:tentative="1">
      <w:start w:val="1"/>
      <w:numFmt w:val="bullet"/>
      <w:lvlText w:val="•"/>
      <w:lvlJc w:val="left"/>
      <w:pPr>
        <w:tabs>
          <w:tab w:val="num" w:pos="3600"/>
        </w:tabs>
        <w:ind w:left="3600" w:hanging="360"/>
      </w:pPr>
      <w:rPr>
        <w:rFonts w:ascii="Times New Roman" w:hAnsi="Times New Roman" w:hint="default"/>
      </w:rPr>
    </w:lvl>
    <w:lvl w:ilvl="5" w:tplc="0592F48E" w:tentative="1">
      <w:start w:val="1"/>
      <w:numFmt w:val="bullet"/>
      <w:lvlText w:val="•"/>
      <w:lvlJc w:val="left"/>
      <w:pPr>
        <w:tabs>
          <w:tab w:val="num" w:pos="4320"/>
        </w:tabs>
        <w:ind w:left="4320" w:hanging="360"/>
      </w:pPr>
      <w:rPr>
        <w:rFonts w:ascii="Times New Roman" w:hAnsi="Times New Roman" w:hint="default"/>
      </w:rPr>
    </w:lvl>
    <w:lvl w:ilvl="6" w:tplc="96A0215A" w:tentative="1">
      <w:start w:val="1"/>
      <w:numFmt w:val="bullet"/>
      <w:lvlText w:val="•"/>
      <w:lvlJc w:val="left"/>
      <w:pPr>
        <w:tabs>
          <w:tab w:val="num" w:pos="5040"/>
        </w:tabs>
        <w:ind w:left="5040" w:hanging="360"/>
      </w:pPr>
      <w:rPr>
        <w:rFonts w:ascii="Times New Roman" w:hAnsi="Times New Roman" w:hint="default"/>
      </w:rPr>
    </w:lvl>
    <w:lvl w:ilvl="7" w:tplc="E2CEB13A" w:tentative="1">
      <w:start w:val="1"/>
      <w:numFmt w:val="bullet"/>
      <w:lvlText w:val="•"/>
      <w:lvlJc w:val="left"/>
      <w:pPr>
        <w:tabs>
          <w:tab w:val="num" w:pos="5760"/>
        </w:tabs>
        <w:ind w:left="5760" w:hanging="360"/>
      </w:pPr>
      <w:rPr>
        <w:rFonts w:ascii="Times New Roman" w:hAnsi="Times New Roman" w:hint="default"/>
      </w:rPr>
    </w:lvl>
    <w:lvl w:ilvl="8" w:tplc="7046B6EE" w:tentative="1">
      <w:start w:val="1"/>
      <w:numFmt w:val="bullet"/>
      <w:lvlText w:val="•"/>
      <w:lvlJc w:val="left"/>
      <w:pPr>
        <w:tabs>
          <w:tab w:val="num" w:pos="6480"/>
        </w:tabs>
        <w:ind w:left="6480" w:hanging="360"/>
      </w:pPr>
      <w:rPr>
        <w:rFonts w:ascii="Times New Roman" w:hAnsi="Times New Roman" w:hint="default"/>
      </w:rPr>
    </w:lvl>
  </w:abstractNum>
  <w:num w:numId="1" w16cid:durableId="1540777526">
    <w:abstractNumId w:val="1"/>
  </w:num>
  <w:num w:numId="2" w16cid:durableId="2071534022">
    <w:abstractNumId w:val="2"/>
  </w:num>
  <w:num w:numId="3" w16cid:durableId="84620807">
    <w:abstractNumId w:val="0"/>
  </w:num>
  <w:num w:numId="4" w16cid:durableId="556862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E82"/>
    <w:rsid w:val="00041B9A"/>
    <w:rsid w:val="004966A4"/>
    <w:rsid w:val="00555E82"/>
    <w:rsid w:val="005803F5"/>
    <w:rsid w:val="008E5C92"/>
    <w:rsid w:val="009F3A18"/>
    <w:rsid w:val="00A21117"/>
    <w:rsid w:val="00C041CE"/>
    <w:rsid w:val="00E17C72"/>
    <w:rsid w:val="00FA64EB"/>
    <w:rsid w:val="00FB0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E24B"/>
  <w15:chartTrackingRefBased/>
  <w15:docId w15:val="{9B557BB4-BA42-4206-AABF-02777AAC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E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37740">
      <w:bodyDiv w:val="1"/>
      <w:marLeft w:val="0"/>
      <w:marRight w:val="0"/>
      <w:marTop w:val="0"/>
      <w:marBottom w:val="0"/>
      <w:divBdr>
        <w:top w:val="none" w:sz="0" w:space="0" w:color="auto"/>
        <w:left w:val="none" w:sz="0" w:space="0" w:color="auto"/>
        <w:bottom w:val="none" w:sz="0" w:space="0" w:color="auto"/>
        <w:right w:val="none" w:sz="0" w:space="0" w:color="auto"/>
      </w:divBdr>
      <w:divsChild>
        <w:div w:id="214435635">
          <w:marLeft w:val="547"/>
          <w:marRight w:val="0"/>
          <w:marTop w:val="0"/>
          <w:marBottom w:val="0"/>
          <w:divBdr>
            <w:top w:val="none" w:sz="0" w:space="0" w:color="auto"/>
            <w:left w:val="none" w:sz="0" w:space="0" w:color="auto"/>
            <w:bottom w:val="none" w:sz="0" w:space="0" w:color="auto"/>
            <w:right w:val="none" w:sz="0" w:space="0" w:color="auto"/>
          </w:divBdr>
        </w:div>
        <w:div w:id="563294642">
          <w:marLeft w:val="547"/>
          <w:marRight w:val="0"/>
          <w:marTop w:val="0"/>
          <w:marBottom w:val="0"/>
          <w:divBdr>
            <w:top w:val="none" w:sz="0" w:space="0" w:color="auto"/>
            <w:left w:val="none" w:sz="0" w:space="0" w:color="auto"/>
            <w:bottom w:val="none" w:sz="0" w:space="0" w:color="auto"/>
            <w:right w:val="none" w:sz="0" w:space="0" w:color="auto"/>
          </w:divBdr>
        </w:div>
      </w:divsChild>
    </w:div>
    <w:div w:id="635330623">
      <w:bodyDiv w:val="1"/>
      <w:marLeft w:val="0"/>
      <w:marRight w:val="0"/>
      <w:marTop w:val="0"/>
      <w:marBottom w:val="0"/>
      <w:divBdr>
        <w:top w:val="none" w:sz="0" w:space="0" w:color="auto"/>
        <w:left w:val="none" w:sz="0" w:space="0" w:color="auto"/>
        <w:bottom w:val="none" w:sz="0" w:space="0" w:color="auto"/>
        <w:right w:val="none" w:sz="0" w:space="0" w:color="auto"/>
      </w:divBdr>
      <w:divsChild>
        <w:div w:id="1606033808">
          <w:marLeft w:val="547"/>
          <w:marRight w:val="0"/>
          <w:marTop w:val="0"/>
          <w:marBottom w:val="0"/>
          <w:divBdr>
            <w:top w:val="none" w:sz="0" w:space="0" w:color="auto"/>
            <w:left w:val="none" w:sz="0" w:space="0" w:color="auto"/>
            <w:bottom w:val="none" w:sz="0" w:space="0" w:color="auto"/>
            <w:right w:val="none" w:sz="0" w:space="0" w:color="auto"/>
          </w:divBdr>
        </w:div>
        <w:div w:id="2094084477">
          <w:marLeft w:val="547"/>
          <w:marRight w:val="0"/>
          <w:marTop w:val="0"/>
          <w:marBottom w:val="0"/>
          <w:divBdr>
            <w:top w:val="none" w:sz="0" w:space="0" w:color="auto"/>
            <w:left w:val="none" w:sz="0" w:space="0" w:color="auto"/>
            <w:bottom w:val="none" w:sz="0" w:space="0" w:color="auto"/>
            <w:right w:val="none" w:sz="0" w:space="0" w:color="auto"/>
          </w:divBdr>
        </w:div>
      </w:divsChild>
    </w:div>
    <w:div w:id="1092434855">
      <w:bodyDiv w:val="1"/>
      <w:marLeft w:val="0"/>
      <w:marRight w:val="0"/>
      <w:marTop w:val="0"/>
      <w:marBottom w:val="0"/>
      <w:divBdr>
        <w:top w:val="none" w:sz="0" w:space="0" w:color="auto"/>
        <w:left w:val="none" w:sz="0" w:space="0" w:color="auto"/>
        <w:bottom w:val="none" w:sz="0" w:space="0" w:color="auto"/>
        <w:right w:val="none" w:sz="0" w:space="0" w:color="auto"/>
      </w:divBdr>
      <w:divsChild>
        <w:div w:id="5983414">
          <w:marLeft w:val="547"/>
          <w:marRight w:val="0"/>
          <w:marTop w:val="0"/>
          <w:marBottom w:val="0"/>
          <w:divBdr>
            <w:top w:val="none" w:sz="0" w:space="0" w:color="auto"/>
            <w:left w:val="none" w:sz="0" w:space="0" w:color="auto"/>
            <w:bottom w:val="none" w:sz="0" w:space="0" w:color="auto"/>
            <w:right w:val="none" w:sz="0" w:space="0" w:color="auto"/>
          </w:divBdr>
        </w:div>
        <w:div w:id="656031674">
          <w:marLeft w:val="547"/>
          <w:marRight w:val="0"/>
          <w:marTop w:val="0"/>
          <w:marBottom w:val="0"/>
          <w:divBdr>
            <w:top w:val="none" w:sz="0" w:space="0" w:color="auto"/>
            <w:left w:val="none" w:sz="0" w:space="0" w:color="auto"/>
            <w:bottom w:val="none" w:sz="0" w:space="0" w:color="auto"/>
            <w:right w:val="none" w:sz="0" w:space="0" w:color="auto"/>
          </w:divBdr>
        </w:div>
        <w:div w:id="879516375">
          <w:marLeft w:val="547"/>
          <w:marRight w:val="0"/>
          <w:marTop w:val="0"/>
          <w:marBottom w:val="0"/>
          <w:divBdr>
            <w:top w:val="none" w:sz="0" w:space="0" w:color="auto"/>
            <w:left w:val="none" w:sz="0" w:space="0" w:color="auto"/>
            <w:bottom w:val="none" w:sz="0" w:space="0" w:color="auto"/>
            <w:right w:val="none" w:sz="0" w:space="0" w:color="auto"/>
          </w:divBdr>
        </w:div>
        <w:div w:id="18257332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Lawler</dc:creator>
  <cp:keywords/>
  <dc:description/>
  <cp:lastModifiedBy>Catherine Lawler</cp:lastModifiedBy>
  <cp:revision>8</cp:revision>
  <cp:lastPrinted>2023-09-11T09:23:00Z</cp:lastPrinted>
  <dcterms:created xsi:type="dcterms:W3CDTF">2023-09-11T08:26:00Z</dcterms:created>
  <dcterms:modified xsi:type="dcterms:W3CDTF">2024-02-12T14:52:00Z</dcterms:modified>
</cp:coreProperties>
</file>